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41B5" w14:textId="0876B2EF" w:rsidR="00535F87" w:rsidRDefault="00535F87" w:rsidP="00262B06"/>
    <w:tbl>
      <w:tblPr>
        <w:tblW w:w="0" w:type="auto"/>
        <w:tblInd w:w="44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5"/>
        <w:gridCol w:w="1170"/>
        <w:gridCol w:w="1724"/>
        <w:gridCol w:w="976"/>
        <w:gridCol w:w="900"/>
        <w:gridCol w:w="625"/>
        <w:gridCol w:w="1383"/>
        <w:gridCol w:w="17"/>
        <w:gridCol w:w="3375"/>
        <w:gridCol w:w="20"/>
      </w:tblGrid>
      <w:tr w:rsidR="00166F4D" w14:paraId="696A8F76" w14:textId="77777777" w:rsidTr="00133006">
        <w:tc>
          <w:tcPr>
            <w:tcW w:w="545" w:type="dxa"/>
            <w:vAlign w:val="center"/>
          </w:tcPr>
          <w:p w14:paraId="3EE5A966" w14:textId="77777777" w:rsidR="00166F4D" w:rsidRDefault="00166F4D" w:rsidP="00E35593"/>
        </w:tc>
        <w:tc>
          <w:tcPr>
            <w:tcW w:w="10170" w:type="dxa"/>
            <w:gridSpan w:val="8"/>
            <w:vAlign w:val="center"/>
          </w:tcPr>
          <w:p w14:paraId="0BA0966F" w14:textId="29E36BDB" w:rsidR="00166F4D" w:rsidRDefault="00695ECD" w:rsidP="00E35593">
            <w:pPr>
              <w:pStyle w:val="Title"/>
            </w:pPr>
            <w:r>
              <w:t>Brew Baritugo</w:t>
            </w:r>
          </w:p>
        </w:tc>
        <w:tc>
          <w:tcPr>
            <w:tcW w:w="20" w:type="dxa"/>
            <w:vAlign w:val="center"/>
          </w:tcPr>
          <w:p w14:paraId="2AB7D4C7" w14:textId="77777777" w:rsidR="00166F4D" w:rsidRDefault="00166F4D" w:rsidP="00E35593"/>
        </w:tc>
      </w:tr>
      <w:tr w:rsidR="00166F4D" w14:paraId="18589BB9" w14:textId="77777777" w:rsidTr="00133006">
        <w:tc>
          <w:tcPr>
            <w:tcW w:w="545" w:type="dxa"/>
            <w:vAlign w:val="center"/>
          </w:tcPr>
          <w:p w14:paraId="380E9269" w14:textId="77777777" w:rsidR="00166F4D" w:rsidRDefault="00166F4D" w:rsidP="00E35593"/>
        </w:tc>
        <w:tc>
          <w:tcPr>
            <w:tcW w:w="2894" w:type="dxa"/>
            <w:gridSpan w:val="2"/>
            <w:tcBorders>
              <w:bottom w:val="single" w:sz="4" w:space="0" w:color="auto"/>
            </w:tcBorders>
            <w:vAlign w:val="center"/>
          </w:tcPr>
          <w:p w14:paraId="2213993E" w14:textId="77777777" w:rsidR="00166F4D" w:rsidRDefault="00166F4D" w:rsidP="00E35593"/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64EAA3DB" w14:textId="77777777" w:rsidR="00166F4D" w:rsidRDefault="00166F4D" w:rsidP="00E35593"/>
        </w:tc>
        <w:tc>
          <w:tcPr>
            <w:tcW w:w="2908" w:type="dxa"/>
            <w:gridSpan w:val="3"/>
            <w:tcBorders>
              <w:bottom w:val="single" w:sz="4" w:space="0" w:color="auto"/>
            </w:tcBorders>
            <w:vAlign w:val="center"/>
          </w:tcPr>
          <w:p w14:paraId="189CFB94" w14:textId="77777777" w:rsidR="00166F4D" w:rsidRDefault="00166F4D" w:rsidP="00E35593"/>
        </w:tc>
        <w:tc>
          <w:tcPr>
            <w:tcW w:w="3392" w:type="dxa"/>
            <w:gridSpan w:val="2"/>
            <w:tcBorders>
              <w:bottom w:val="single" w:sz="4" w:space="0" w:color="auto"/>
            </w:tcBorders>
            <w:vAlign w:val="center"/>
          </w:tcPr>
          <w:p w14:paraId="596C0946" w14:textId="77777777" w:rsidR="00166F4D" w:rsidRDefault="00166F4D" w:rsidP="00E35593"/>
        </w:tc>
        <w:tc>
          <w:tcPr>
            <w:tcW w:w="20" w:type="dxa"/>
            <w:vAlign w:val="center"/>
          </w:tcPr>
          <w:p w14:paraId="20AC983A" w14:textId="77777777" w:rsidR="00166F4D" w:rsidRDefault="00166F4D" w:rsidP="00E35593"/>
        </w:tc>
      </w:tr>
      <w:tr w:rsidR="00166F4D" w14:paraId="563F2FEF" w14:textId="77777777" w:rsidTr="00133006">
        <w:trPr>
          <w:trHeight w:val="467"/>
        </w:trPr>
        <w:tc>
          <w:tcPr>
            <w:tcW w:w="545" w:type="dxa"/>
            <w:vAlign w:val="center"/>
          </w:tcPr>
          <w:p w14:paraId="1A5AD9F5" w14:textId="77777777" w:rsidR="00166F4D" w:rsidRDefault="00166F4D" w:rsidP="00E35593"/>
        </w:tc>
        <w:tc>
          <w:tcPr>
            <w:tcW w:w="1017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84600" w14:textId="72317F42" w:rsidR="00695ECD" w:rsidRPr="00695ECD" w:rsidRDefault="00C236F5" w:rsidP="00133006">
            <w:pPr>
              <w:pStyle w:val="Subtitle"/>
            </w:pPr>
            <w:r w:rsidRPr="00C236F5">
              <w:t>Global HR Business Partner | People Strategy &amp; Transformation Leader</w:t>
            </w:r>
          </w:p>
        </w:tc>
        <w:tc>
          <w:tcPr>
            <w:tcW w:w="20" w:type="dxa"/>
            <w:vAlign w:val="center"/>
          </w:tcPr>
          <w:p w14:paraId="7D52381A" w14:textId="77777777" w:rsidR="00166F4D" w:rsidRDefault="00166F4D" w:rsidP="00E35593"/>
        </w:tc>
      </w:tr>
      <w:tr w:rsidR="00166F4D" w14:paraId="31F1D93F" w14:textId="77777777" w:rsidTr="00133006">
        <w:trPr>
          <w:trHeight w:val="350"/>
        </w:trPr>
        <w:tc>
          <w:tcPr>
            <w:tcW w:w="545" w:type="dxa"/>
            <w:vAlign w:val="center"/>
          </w:tcPr>
          <w:p w14:paraId="511ED2A4" w14:textId="77777777" w:rsidR="00166F4D" w:rsidRDefault="00166F4D" w:rsidP="00E35593"/>
        </w:tc>
        <w:tc>
          <w:tcPr>
            <w:tcW w:w="2894" w:type="dxa"/>
            <w:gridSpan w:val="2"/>
            <w:tcBorders>
              <w:top w:val="single" w:sz="4" w:space="0" w:color="auto"/>
            </w:tcBorders>
            <w:vAlign w:val="center"/>
          </w:tcPr>
          <w:p w14:paraId="2683D038" w14:textId="77777777" w:rsidR="00166F4D" w:rsidRDefault="00166F4D" w:rsidP="00E35593"/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29D7CABD" w14:textId="77777777" w:rsidR="00166F4D" w:rsidRDefault="00166F4D" w:rsidP="00E35593"/>
        </w:tc>
        <w:tc>
          <w:tcPr>
            <w:tcW w:w="2908" w:type="dxa"/>
            <w:gridSpan w:val="3"/>
            <w:tcBorders>
              <w:top w:val="single" w:sz="4" w:space="0" w:color="auto"/>
            </w:tcBorders>
            <w:vAlign w:val="center"/>
          </w:tcPr>
          <w:p w14:paraId="568978B2" w14:textId="77777777" w:rsidR="00166F4D" w:rsidRDefault="00166F4D" w:rsidP="00E35593"/>
        </w:tc>
        <w:tc>
          <w:tcPr>
            <w:tcW w:w="3392" w:type="dxa"/>
            <w:gridSpan w:val="2"/>
            <w:tcBorders>
              <w:top w:val="single" w:sz="4" w:space="0" w:color="auto"/>
            </w:tcBorders>
            <w:vAlign w:val="center"/>
          </w:tcPr>
          <w:p w14:paraId="72E81BCE" w14:textId="77777777" w:rsidR="00166F4D" w:rsidRDefault="00166F4D" w:rsidP="00E35593"/>
        </w:tc>
        <w:tc>
          <w:tcPr>
            <w:tcW w:w="20" w:type="dxa"/>
            <w:vAlign w:val="center"/>
          </w:tcPr>
          <w:p w14:paraId="4D7F9131" w14:textId="77777777" w:rsidR="00166F4D" w:rsidRDefault="00166F4D" w:rsidP="00E35593"/>
        </w:tc>
      </w:tr>
      <w:tr w:rsidR="00166F4D" w14:paraId="27A3E887" w14:textId="77777777" w:rsidTr="00133006">
        <w:trPr>
          <w:trHeight w:val="405"/>
        </w:trPr>
        <w:tc>
          <w:tcPr>
            <w:tcW w:w="545" w:type="dxa"/>
            <w:vAlign w:val="center"/>
          </w:tcPr>
          <w:p w14:paraId="26281490" w14:textId="77777777" w:rsidR="00166F4D" w:rsidRDefault="00166F4D" w:rsidP="00E35593"/>
        </w:tc>
        <w:tc>
          <w:tcPr>
            <w:tcW w:w="1170" w:type="dxa"/>
            <w:vAlign w:val="center"/>
          </w:tcPr>
          <w:p w14:paraId="6AA9A782" w14:textId="77777777" w:rsidR="00166F4D" w:rsidRDefault="00000000" w:rsidP="00403558">
            <w:pPr>
              <w:pStyle w:val="Heading1"/>
            </w:pPr>
            <w:sdt>
              <w:sdtPr>
                <w:id w:val="63298779"/>
                <w:placeholder>
                  <w:docPart w:val="EC0019A9CE5D44528F7D138B96A5F328"/>
                </w:placeholder>
                <w:temporary/>
                <w:showingPlcHdr/>
                <w15:appearance w15:val="hidden"/>
              </w:sdtPr>
              <w:sdtContent>
                <w:r w:rsidR="00166F4D" w:rsidRPr="00173B36">
                  <w:t>CONTACT</w:t>
                </w:r>
              </w:sdtContent>
            </w:sdt>
          </w:p>
        </w:tc>
        <w:tc>
          <w:tcPr>
            <w:tcW w:w="1724" w:type="dxa"/>
            <w:vAlign w:val="center"/>
          </w:tcPr>
          <w:p w14:paraId="098C2635" w14:textId="77777777" w:rsidR="00166F4D" w:rsidRDefault="00166F4D" w:rsidP="00403558">
            <w:pPr>
              <w:pStyle w:val="Heading1"/>
            </w:pPr>
          </w:p>
        </w:tc>
        <w:tc>
          <w:tcPr>
            <w:tcW w:w="976" w:type="dxa"/>
            <w:vAlign w:val="center"/>
          </w:tcPr>
          <w:p w14:paraId="60A27C05" w14:textId="77777777" w:rsidR="00166F4D" w:rsidRDefault="00166F4D" w:rsidP="00403558"/>
        </w:tc>
        <w:tc>
          <w:tcPr>
            <w:tcW w:w="900" w:type="dxa"/>
            <w:vAlign w:val="center"/>
          </w:tcPr>
          <w:p w14:paraId="547CB191" w14:textId="77777777" w:rsidR="00166F4D" w:rsidRDefault="00000000" w:rsidP="00403558">
            <w:pPr>
              <w:pStyle w:val="Heading1"/>
            </w:pPr>
            <w:sdt>
              <w:sdtPr>
                <w:id w:val="-447008296"/>
                <w:placeholder>
                  <w:docPart w:val="D6F7AB1D53ED478CACF64A8EBB1F57C2"/>
                </w:placeholder>
                <w:temporary/>
                <w:showingPlcHdr/>
                <w15:appearance w15:val="hidden"/>
              </w:sdtPr>
              <w:sdtContent>
                <w:r w:rsidR="00166F4D" w:rsidRPr="00173B36">
                  <w:t>PROFILE</w:t>
                </w:r>
              </w:sdtContent>
            </w:sdt>
          </w:p>
        </w:tc>
        <w:tc>
          <w:tcPr>
            <w:tcW w:w="2025" w:type="dxa"/>
            <w:gridSpan w:val="3"/>
            <w:vAlign w:val="center"/>
          </w:tcPr>
          <w:p w14:paraId="4EB4FB24" w14:textId="77777777" w:rsidR="00166F4D" w:rsidRDefault="00166F4D" w:rsidP="00403558">
            <w:pPr>
              <w:pStyle w:val="Heading1"/>
            </w:pPr>
          </w:p>
        </w:tc>
        <w:tc>
          <w:tcPr>
            <w:tcW w:w="3375" w:type="dxa"/>
            <w:vAlign w:val="center"/>
          </w:tcPr>
          <w:p w14:paraId="10136A66" w14:textId="77777777" w:rsidR="00166F4D" w:rsidRDefault="00166F4D" w:rsidP="00E35593"/>
        </w:tc>
        <w:tc>
          <w:tcPr>
            <w:tcW w:w="20" w:type="dxa"/>
            <w:vAlign w:val="center"/>
          </w:tcPr>
          <w:p w14:paraId="53E5881F" w14:textId="77777777" w:rsidR="00166F4D" w:rsidRDefault="00166F4D" w:rsidP="00E35593"/>
        </w:tc>
      </w:tr>
      <w:tr w:rsidR="00166F4D" w14:paraId="740C19EF" w14:textId="77777777" w:rsidTr="0049724A">
        <w:trPr>
          <w:trHeight w:val="2169"/>
        </w:trPr>
        <w:tc>
          <w:tcPr>
            <w:tcW w:w="545" w:type="dxa"/>
            <w:vAlign w:val="center"/>
          </w:tcPr>
          <w:p w14:paraId="561C3FA9" w14:textId="77777777" w:rsidR="00166F4D" w:rsidRDefault="00166F4D" w:rsidP="00E35593"/>
        </w:tc>
        <w:tc>
          <w:tcPr>
            <w:tcW w:w="2894" w:type="dxa"/>
            <w:gridSpan w:val="2"/>
          </w:tcPr>
          <w:p w14:paraId="14C30E37" w14:textId="484B53E1" w:rsidR="00166F4D" w:rsidRDefault="00695ECD" w:rsidP="00E35593">
            <w:pPr>
              <w:pStyle w:val="Heading2"/>
            </w:pPr>
            <w:r>
              <w:t>+63917.7557600</w:t>
            </w:r>
          </w:p>
          <w:p w14:paraId="31ED6CB4" w14:textId="5A26CBE3" w:rsidR="00695ECD" w:rsidRPr="00695ECD" w:rsidRDefault="00695ECD" w:rsidP="00E35593">
            <w:r>
              <w:t>+63962.923.0084</w:t>
            </w:r>
          </w:p>
          <w:p w14:paraId="1A0502F7" w14:textId="40D3668A" w:rsidR="00166F4D" w:rsidRPr="002D6898" w:rsidRDefault="00695ECD" w:rsidP="00E35593">
            <w:pPr>
              <w:pStyle w:val="Heading2"/>
            </w:pPr>
            <w:r>
              <w:t>brew.baritugo@outlook.com</w:t>
            </w:r>
          </w:p>
          <w:p w14:paraId="4D4F6CEF" w14:textId="3F748607" w:rsidR="00166F4D" w:rsidRDefault="00695ECD" w:rsidP="00E35593">
            <w:pPr>
              <w:pStyle w:val="Heading2"/>
            </w:pPr>
            <w:r>
              <w:t>www.brewbaritugo.com</w:t>
            </w:r>
          </w:p>
        </w:tc>
        <w:tc>
          <w:tcPr>
            <w:tcW w:w="976" w:type="dxa"/>
          </w:tcPr>
          <w:p w14:paraId="7B12F74B" w14:textId="77777777" w:rsidR="00166F4D" w:rsidRDefault="00166F4D" w:rsidP="00E35593"/>
        </w:tc>
        <w:tc>
          <w:tcPr>
            <w:tcW w:w="6300" w:type="dxa"/>
            <w:gridSpan w:val="5"/>
          </w:tcPr>
          <w:p w14:paraId="2BCA0E5B" w14:textId="1ED69E91" w:rsidR="00C236F5" w:rsidRDefault="00AD57B4" w:rsidP="00E35593">
            <w:r w:rsidRPr="00AD57B4">
              <w:t xml:space="preserve">Senior HR business partner with 20+ years advising CEOs and regional leadership teams across North America, EMEA, and Asia Pacific on enterprise people strategy and organization design. </w:t>
            </w:r>
            <w:r w:rsidR="00E81BCD" w:rsidRPr="00E81BCD">
              <w:t>Advised CHROs and business heads to align people, structure, and growth strategy across multi-market operations</w:t>
            </w:r>
            <w:r w:rsidR="00E81BCD">
              <w:t xml:space="preserve"> </w:t>
            </w:r>
            <w:r w:rsidRPr="00AD57B4">
              <w:t>of 10,000–25,000 employees. Recognized for building modern HR functions, shaping leadership capability, and driving enterprise alignment across complex, matrixed organizations.</w:t>
            </w:r>
          </w:p>
          <w:p w14:paraId="21A5FCB9" w14:textId="5701CC15" w:rsidR="00AD57B4" w:rsidRDefault="00AD57B4" w:rsidP="00E35593"/>
        </w:tc>
        <w:tc>
          <w:tcPr>
            <w:tcW w:w="20" w:type="dxa"/>
            <w:vAlign w:val="center"/>
          </w:tcPr>
          <w:p w14:paraId="77DCFE13" w14:textId="77777777" w:rsidR="00166F4D" w:rsidRDefault="00166F4D" w:rsidP="00E35593"/>
        </w:tc>
      </w:tr>
      <w:tr w:rsidR="00166F4D" w14:paraId="10199FE5" w14:textId="77777777" w:rsidTr="00133006">
        <w:trPr>
          <w:trHeight w:val="423"/>
        </w:trPr>
        <w:tc>
          <w:tcPr>
            <w:tcW w:w="545" w:type="dxa"/>
            <w:vAlign w:val="center"/>
          </w:tcPr>
          <w:p w14:paraId="0F4BC98F" w14:textId="77777777" w:rsidR="00166F4D" w:rsidRDefault="00166F4D" w:rsidP="00E35593"/>
        </w:tc>
        <w:tc>
          <w:tcPr>
            <w:tcW w:w="1170" w:type="dxa"/>
            <w:vAlign w:val="center"/>
          </w:tcPr>
          <w:p w14:paraId="69801D6E" w14:textId="77777777" w:rsidR="00166F4D" w:rsidRDefault="00000000" w:rsidP="00403558">
            <w:pPr>
              <w:pStyle w:val="Heading1"/>
              <w:jc w:val="both"/>
            </w:pPr>
            <w:sdt>
              <w:sdtPr>
                <w:id w:val="259270251"/>
                <w:placeholder>
                  <w:docPart w:val="D6A868E2A93C4BD4BBBA459FDBCC5405"/>
                </w:placeholder>
                <w:temporary/>
                <w:showingPlcHdr/>
                <w15:appearance w15:val="hidden"/>
              </w:sdtPr>
              <w:sdtContent>
                <w:r w:rsidR="00166F4D" w:rsidRPr="00173B36">
                  <w:t>SKILLS</w:t>
                </w:r>
              </w:sdtContent>
            </w:sdt>
            <w:r w:rsidR="00166F4D">
              <w:t xml:space="preserve"> </w:t>
            </w:r>
          </w:p>
        </w:tc>
        <w:tc>
          <w:tcPr>
            <w:tcW w:w="1724" w:type="dxa"/>
            <w:vAlign w:val="center"/>
          </w:tcPr>
          <w:p w14:paraId="72F604C9" w14:textId="77777777" w:rsidR="00166F4D" w:rsidRDefault="00166F4D" w:rsidP="00403558">
            <w:pPr>
              <w:pStyle w:val="Heading1"/>
              <w:jc w:val="both"/>
            </w:pPr>
          </w:p>
        </w:tc>
        <w:tc>
          <w:tcPr>
            <w:tcW w:w="976" w:type="dxa"/>
            <w:vAlign w:val="center"/>
          </w:tcPr>
          <w:p w14:paraId="63228E93" w14:textId="77777777" w:rsidR="00166F4D" w:rsidRDefault="00166F4D" w:rsidP="00403558">
            <w:pPr>
              <w:jc w:val="both"/>
            </w:pPr>
          </w:p>
        </w:tc>
        <w:tc>
          <w:tcPr>
            <w:tcW w:w="1525" w:type="dxa"/>
            <w:gridSpan w:val="2"/>
            <w:vAlign w:val="center"/>
          </w:tcPr>
          <w:p w14:paraId="3FC48B79" w14:textId="77777777" w:rsidR="00166F4D" w:rsidRDefault="00000000" w:rsidP="00403558">
            <w:pPr>
              <w:pStyle w:val="Heading1"/>
              <w:jc w:val="both"/>
            </w:pPr>
            <w:sdt>
              <w:sdtPr>
                <w:id w:val="1888525358"/>
                <w:placeholder>
                  <w:docPart w:val="37734E77EA40469F9A17BD85C3F68088"/>
                </w:placeholder>
                <w:temporary/>
                <w:showingPlcHdr/>
                <w15:appearance w15:val="hidden"/>
              </w:sdtPr>
              <w:sdtContent>
                <w:r w:rsidR="00166F4D" w:rsidRPr="00173B36">
                  <w:t>EXPERIENCE</w:t>
                </w:r>
              </w:sdtContent>
            </w:sdt>
            <w:r w:rsidR="00166F4D">
              <w:t xml:space="preserve"> </w:t>
            </w:r>
          </w:p>
        </w:tc>
        <w:tc>
          <w:tcPr>
            <w:tcW w:w="1400" w:type="dxa"/>
            <w:gridSpan w:val="2"/>
            <w:vAlign w:val="center"/>
          </w:tcPr>
          <w:p w14:paraId="72277446" w14:textId="77777777" w:rsidR="00166F4D" w:rsidRDefault="00166F4D" w:rsidP="00E35593">
            <w:pPr>
              <w:pStyle w:val="Heading1"/>
            </w:pPr>
          </w:p>
        </w:tc>
        <w:tc>
          <w:tcPr>
            <w:tcW w:w="3375" w:type="dxa"/>
            <w:vAlign w:val="center"/>
          </w:tcPr>
          <w:p w14:paraId="6EA4A108" w14:textId="77777777" w:rsidR="00166F4D" w:rsidRDefault="00166F4D" w:rsidP="00E35593"/>
        </w:tc>
        <w:tc>
          <w:tcPr>
            <w:tcW w:w="20" w:type="dxa"/>
            <w:vAlign w:val="center"/>
          </w:tcPr>
          <w:p w14:paraId="3CC296A2" w14:textId="77777777" w:rsidR="00166F4D" w:rsidRDefault="00166F4D" w:rsidP="00E35593"/>
        </w:tc>
      </w:tr>
      <w:tr w:rsidR="00166F4D" w14:paraId="0510999C" w14:textId="77777777" w:rsidTr="00133006">
        <w:trPr>
          <w:trHeight w:val="3419"/>
        </w:trPr>
        <w:tc>
          <w:tcPr>
            <w:tcW w:w="545" w:type="dxa"/>
            <w:vAlign w:val="center"/>
          </w:tcPr>
          <w:p w14:paraId="4217BBE7" w14:textId="77777777" w:rsidR="00166F4D" w:rsidRDefault="00166F4D" w:rsidP="00E35593"/>
        </w:tc>
        <w:tc>
          <w:tcPr>
            <w:tcW w:w="2894" w:type="dxa"/>
            <w:gridSpan w:val="2"/>
          </w:tcPr>
          <w:p w14:paraId="6A6CB923" w14:textId="77777777" w:rsidR="00133006" w:rsidRDefault="00E35593" w:rsidP="00101B5F">
            <w:pPr>
              <w:pStyle w:val="ListParagraph"/>
              <w:numPr>
                <w:ilvl w:val="0"/>
                <w:numId w:val="16"/>
              </w:numPr>
              <w:rPr>
                <w:rFonts w:eastAsiaTheme="majorEastAsia" w:cs="Times New Roman (Headings CS)"/>
                <w:szCs w:val="26"/>
              </w:rPr>
            </w:pPr>
            <w:r w:rsidRPr="00133006">
              <w:rPr>
                <w:rFonts w:eastAsiaTheme="majorEastAsia" w:cs="Times New Roman (Headings CS)"/>
                <w:szCs w:val="26"/>
              </w:rPr>
              <w:t>Strategic HR Business Partnering</w:t>
            </w:r>
          </w:p>
          <w:p w14:paraId="50475DBD" w14:textId="77777777" w:rsidR="00133006" w:rsidRDefault="00E35593" w:rsidP="00783214">
            <w:pPr>
              <w:pStyle w:val="ListParagraph"/>
              <w:numPr>
                <w:ilvl w:val="0"/>
                <w:numId w:val="16"/>
              </w:numPr>
              <w:rPr>
                <w:rFonts w:eastAsiaTheme="majorEastAsia" w:cs="Times New Roman (Headings CS)"/>
                <w:szCs w:val="26"/>
              </w:rPr>
            </w:pPr>
            <w:r w:rsidRPr="00133006">
              <w:rPr>
                <w:rFonts w:eastAsiaTheme="majorEastAsia" w:cs="Times New Roman (Headings CS)"/>
                <w:szCs w:val="26"/>
              </w:rPr>
              <w:t>HR Transformation &amp; Shared Services</w:t>
            </w:r>
          </w:p>
          <w:p w14:paraId="5CF1DDD3" w14:textId="77777777" w:rsidR="00133006" w:rsidRDefault="00E35593" w:rsidP="00351988">
            <w:pPr>
              <w:pStyle w:val="ListParagraph"/>
              <w:numPr>
                <w:ilvl w:val="0"/>
                <w:numId w:val="16"/>
              </w:numPr>
              <w:rPr>
                <w:rFonts w:eastAsiaTheme="majorEastAsia" w:cs="Times New Roman (Headings CS)"/>
                <w:szCs w:val="26"/>
              </w:rPr>
            </w:pPr>
            <w:r w:rsidRPr="00133006">
              <w:rPr>
                <w:rFonts w:eastAsiaTheme="majorEastAsia" w:cs="Times New Roman (Headings CS)"/>
                <w:szCs w:val="26"/>
              </w:rPr>
              <w:t>Employee Experience Strategy</w:t>
            </w:r>
          </w:p>
          <w:p w14:paraId="49DCA441" w14:textId="77777777" w:rsidR="00133006" w:rsidRPr="00133006" w:rsidRDefault="00E35593" w:rsidP="00CD5505">
            <w:pPr>
              <w:pStyle w:val="ListParagraph"/>
              <w:numPr>
                <w:ilvl w:val="0"/>
                <w:numId w:val="16"/>
              </w:numPr>
            </w:pPr>
            <w:r w:rsidRPr="00133006">
              <w:rPr>
                <w:rFonts w:eastAsiaTheme="majorEastAsia" w:cs="Times New Roman (Headings CS)"/>
                <w:szCs w:val="26"/>
              </w:rPr>
              <w:t>Leadership Development &amp; Talent Strategy</w:t>
            </w:r>
          </w:p>
          <w:p w14:paraId="04CB8A5E" w14:textId="04ABB21D" w:rsidR="00695ECD" w:rsidRDefault="00E35593" w:rsidP="00CD5505">
            <w:pPr>
              <w:pStyle w:val="ListParagraph"/>
              <w:numPr>
                <w:ilvl w:val="0"/>
                <w:numId w:val="16"/>
              </w:numPr>
            </w:pPr>
            <w:r w:rsidRPr="00133006">
              <w:rPr>
                <w:rFonts w:eastAsiaTheme="majorEastAsia" w:cs="Times New Roman (Headings CS)"/>
                <w:szCs w:val="26"/>
              </w:rPr>
              <w:t>Data-Driven HR &amp; Technology Enablement</w:t>
            </w:r>
          </w:p>
          <w:p w14:paraId="64C40995" w14:textId="14E549C7" w:rsidR="00695ECD" w:rsidRPr="00695ECD" w:rsidRDefault="00695ECD" w:rsidP="00E35593"/>
        </w:tc>
        <w:tc>
          <w:tcPr>
            <w:tcW w:w="976" w:type="dxa"/>
          </w:tcPr>
          <w:p w14:paraId="4FB096B5" w14:textId="77777777" w:rsidR="00166F4D" w:rsidRDefault="00166F4D" w:rsidP="00E35593"/>
        </w:tc>
        <w:tc>
          <w:tcPr>
            <w:tcW w:w="6300" w:type="dxa"/>
            <w:gridSpan w:val="5"/>
            <w:vMerge w:val="restart"/>
          </w:tcPr>
          <w:p w14:paraId="51D2258F" w14:textId="77777777" w:rsidR="00C90B9E" w:rsidRPr="00C90B9E" w:rsidRDefault="00C90B9E" w:rsidP="00E35593">
            <w:pPr>
              <w:pStyle w:val="Heading2"/>
              <w:rPr>
                <w:b/>
                <w:bCs/>
              </w:rPr>
            </w:pPr>
            <w:r w:rsidRPr="00C90B9E">
              <w:rPr>
                <w:b/>
                <w:bCs/>
              </w:rPr>
              <w:t>Brew Baritugo Consulting</w:t>
            </w:r>
          </w:p>
          <w:p w14:paraId="05F7BD10" w14:textId="2BEA0669" w:rsidR="00C90B9E" w:rsidRPr="00C90B9E" w:rsidRDefault="00C90B9E" w:rsidP="00E35593">
            <w:pPr>
              <w:pStyle w:val="Heading2"/>
              <w:rPr>
                <w:b/>
                <w:bCs/>
                <w:i/>
                <w:iCs/>
              </w:rPr>
            </w:pPr>
            <w:r w:rsidRPr="00C90B9E">
              <w:rPr>
                <w:b/>
                <w:bCs/>
                <w:i/>
                <w:iCs/>
              </w:rPr>
              <w:t>Principal Consultant | 2020–Present</w:t>
            </w:r>
          </w:p>
          <w:p w14:paraId="693C41A1" w14:textId="77777777" w:rsidR="00C90B9E" w:rsidRDefault="00C90B9E" w:rsidP="00E35593">
            <w:pPr>
              <w:rPr>
                <w:b/>
                <w:bCs/>
              </w:rPr>
            </w:pPr>
          </w:p>
          <w:p w14:paraId="11F88BC8" w14:textId="6E922A68" w:rsidR="00C90B9E" w:rsidRDefault="00AD57B4" w:rsidP="00E35593">
            <w:r w:rsidRPr="00AD57B4">
              <w:rPr>
                <w:b/>
                <w:bCs/>
              </w:rPr>
              <w:t>Scope</w:t>
            </w:r>
            <w:r w:rsidRPr="00AD57B4">
              <w:t>: Strategic advisor to CEOs and CHROs across IT, FinTech, Retail, FMCG, and Shared Services industries, supporting organizations with 1,000–25,000 employees across Asia-Pacific.</w:t>
            </w:r>
          </w:p>
          <w:p w14:paraId="0AEAC1D5" w14:textId="77777777" w:rsidR="00AD57B4" w:rsidRDefault="00AD57B4" w:rsidP="00E35593"/>
          <w:p w14:paraId="7949ED63" w14:textId="76261C8C" w:rsidR="00AD57B4" w:rsidRDefault="00AD57B4" w:rsidP="00E35593">
            <w:r w:rsidRPr="00AD57B4">
              <w:rPr>
                <w:b/>
                <w:bCs/>
              </w:rPr>
              <w:t>Responsibilities</w:t>
            </w:r>
            <w:r w:rsidRPr="00AD57B4">
              <w:t>: Leads people strategy design, HR transformation, and post-merger alignment projects.</w:t>
            </w:r>
          </w:p>
          <w:p w14:paraId="28AE4342" w14:textId="77777777" w:rsidR="00AD57B4" w:rsidRDefault="00AD57B4" w:rsidP="00E35593"/>
          <w:p w14:paraId="5FB492EC" w14:textId="548C2115" w:rsidR="00AD57B4" w:rsidRPr="002C29EC" w:rsidRDefault="00AD57B4" w:rsidP="00E35593">
            <w:pPr>
              <w:rPr>
                <w:b/>
                <w:bCs/>
              </w:rPr>
            </w:pPr>
            <w:r w:rsidRPr="00AD57B4">
              <w:rPr>
                <w:b/>
                <w:bCs/>
              </w:rPr>
              <w:t>Key Achievements:</w:t>
            </w:r>
          </w:p>
          <w:p w14:paraId="17CA52DE" w14:textId="77777777" w:rsidR="00AD57B4" w:rsidRPr="00AD57B4" w:rsidRDefault="00AD57B4" w:rsidP="00E35593">
            <w:pPr>
              <w:pStyle w:val="ListParagraph"/>
              <w:numPr>
                <w:ilvl w:val="0"/>
                <w:numId w:val="6"/>
              </w:numPr>
              <w:rPr>
                <w:rFonts w:eastAsiaTheme="majorEastAsia" w:cs="Times New Roman (Headings CS)"/>
                <w:szCs w:val="26"/>
              </w:rPr>
            </w:pPr>
            <w:r w:rsidRPr="00AD57B4">
              <w:t>Delivered employee experience strategy for a 9,000-employee retail group, increasing engagement by 17 points and tripling internal mobility.</w:t>
            </w:r>
          </w:p>
          <w:p w14:paraId="6CAEFB77" w14:textId="77777777" w:rsidR="00AD57B4" w:rsidRPr="00AD57B4" w:rsidRDefault="00AD57B4" w:rsidP="00E35593">
            <w:pPr>
              <w:pStyle w:val="ListParagraph"/>
              <w:numPr>
                <w:ilvl w:val="0"/>
                <w:numId w:val="6"/>
              </w:numPr>
              <w:rPr>
                <w:rFonts w:eastAsiaTheme="majorEastAsia" w:cs="Times New Roman (Headings CS)"/>
                <w:szCs w:val="26"/>
              </w:rPr>
            </w:pPr>
            <w:r w:rsidRPr="00AD57B4">
              <w:t>Led post-merger integration between Philippine and Singapore entities, retaining 98% of critical talent and unifying operating structures.</w:t>
            </w:r>
          </w:p>
          <w:p w14:paraId="6C66028B" w14:textId="65E76DDF" w:rsidR="00C90B9E" w:rsidRPr="00AD57B4" w:rsidRDefault="00AD57B4" w:rsidP="00AD57B4">
            <w:pPr>
              <w:pStyle w:val="ListParagraph"/>
              <w:numPr>
                <w:ilvl w:val="0"/>
                <w:numId w:val="6"/>
              </w:numPr>
              <w:rPr>
                <w:rFonts w:eastAsiaTheme="majorEastAsia" w:cs="Times New Roman (Headings CS)"/>
                <w:szCs w:val="26"/>
              </w:rPr>
            </w:pPr>
            <w:r w:rsidRPr="00AD57B4">
              <w:t>Guided startup HR leaders in scaling HR systems, designing job architectures, and implementing performance frameworks.</w:t>
            </w:r>
          </w:p>
          <w:p w14:paraId="0ED3B13C" w14:textId="77777777" w:rsidR="00AD57B4" w:rsidRPr="00C90B9E" w:rsidRDefault="00AD57B4" w:rsidP="00AD57B4">
            <w:pPr>
              <w:pStyle w:val="ListParagraph"/>
              <w:ind w:left="720"/>
              <w:rPr>
                <w:rFonts w:eastAsiaTheme="majorEastAsia" w:cs="Times New Roman (Headings CS)"/>
                <w:szCs w:val="26"/>
              </w:rPr>
            </w:pPr>
          </w:p>
          <w:p w14:paraId="26A79198" w14:textId="77777777" w:rsidR="00C90B9E" w:rsidRPr="00C90B9E" w:rsidRDefault="00C90B9E" w:rsidP="00E35593">
            <w:pPr>
              <w:pStyle w:val="Heading3"/>
              <w:rPr>
                <w:rFonts w:cs="Times New Roman (Headings CS)"/>
                <w:szCs w:val="26"/>
              </w:rPr>
            </w:pPr>
            <w:r w:rsidRPr="00C90B9E">
              <w:rPr>
                <w:rFonts w:cs="Times New Roman (Headings CS)"/>
                <w:szCs w:val="26"/>
              </w:rPr>
              <w:t>Coca-Cola Beverages Philippines</w:t>
            </w:r>
          </w:p>
          <w:p w14:paraId="0589315D" w14:textId="77777777" w:rsidR="00C90B9E" w:rsidRPr="00C90B9E" w:rsidRDefault="00C90B9E" w:rsidP="00E35593">
            <w:pPr>
              <w:pStyle w:val="Heading3"/>
              <w:rPr>
                <w:rFonts w:cs="Times New Roman (Headings CS)"/>
                <w:i/>
                <w:iCs/>
                <w:szCs w:val="26"/>
              </w:rPr>
            </w:pPr>
            <w:r w:rsidRPr="00C90B9E">
              <w:rPr>
                <w:rFonts w:cs="Times New Roman (Headings CS)"/>
                <w:i/>
                <w:iCs/>
                <w:szCs w:val="26"/>
              </w:rPr>
              <w:t>Head of HR Transformation &amp; People Services | 2021–2024</w:t>
            </w:r>
          </w:p>
          <w:p w14:paraId="3B8CF782" w14:textId="77777777" w:rsidR="00C90B9E" w:rsidRDefault="00C90B9E" w:rsidP="00E35593">
            <w:pPr>
              <w:rPr>
                <w:rFonts w:cs="Times New Roman (Headings CS)"/>
                <w:szCs w:val="26"/>
              </w:rPr>
            </w:pPr>
          </w:p>
          <w:p w14:paraId="6677F6AC" w14:textId="77777777" w:rsidR="002C29EC" w:rsidRPr="002C29EC" w:rsidRDefault="002C29EC" w:rsidP="002C29EC">
            <w:pPr>
              <w:rPr>
                <w:rFonts w:cs="Times New Roman (Headings CS)"/>
                <w:szCs w:val="26"/>
              </w:rPr>
            </w:pPr>
            <w:r w:rsidRPr="002C29EC">
              <w:rPr>
                <w:rFonts w:cs="Times New Roman (Headings CS)"/>
                <w:b/>
                <w:bCs/>
                <w:szCs w:val="26"/>
              </w:rPr>
              <w:t>Scope</w:t>
            </w:r>
            <w:r w:rsidRPr="002C29EC">
              <w:rPr>
                <w:rFonts w:cs="Times New Roman (Headings CS)"/>
                <w:szCs w:val="26"/>
              </w:rPr>
              <w:t>: Reported to the CHRO and CEO, serving as enterprise HR business partner for 10,000+ employees across Commercial and Supply Chain divisions. Led a 34-member People Services team overseeing Payroll, Benefits, HR PMO, HR Technology, Data &amp; Analytics, and Facilities.</w:t>
            </w:r>
          </w:p>
          <w:p w14:paraId="7EC638E6" w14:textId="3B289984" w:rsidR="007E2EAA" w:rsidRDefault="002C29EC" w:rsidP="002C29EC">
            <w:pPr>
              <w:rPr>
                <w:rFonts w:cs="Times New Roman (Headings CS)"/>
                <w:szCs w:val="26"/>
              </w:rPr>
            </w:pPr>
            <w:r w:rsidRPr="002C29EC">
              <w:rPr>
                <w:rFonts w:cs="Times New Roman (Headings CS)"/>
                <w:b/>
                <w:bCs/>
                <w:szCs w:val="26"/>
              </w:rPr>
              <w:lastRenderedPageBreak/>
              <w:t>Responsibilities</w:t>
            </w:r>
            <w:r w:rsidRPr="002C29EC">
              <w:rPr>
                <w:rFonts w:cs="Times New Roman (Headings CS)"/>
                <w:szCs w:val="26"/>
              </w:rPr>
              <w:t>: Drove HR transformation, integrating systems, analytics, and shared services to modernize HR delivery and strengthen employee experience.</w:t>
            </w:r>
            <w:r w:rsidR="00E81BCD">
              <w:rPr>
                <w:rFonts w:cs="Times New Roman (Headings CS)"/>
                <w:szCs w:val="26"/>
              </w:rPr>
              <w:t xml:space="preserve"> </w:t>
            </w:r>
            <w:r w:rsidR="00E81BCD" w:rsidRPr="00E81BCD">
              <w:rPr>
                <w:rFonts w:cs="Times New Roman (Headings CS)"/>
                <w:szCs w:val="26"/>
              </w:rPr>
              <w:t>Partnered with CHRO and CEO to shape enterprise HR transformation roadmap and workforce strategy across Commercial and Supply Chain.</w:t>
            </w:r>
          </w:p>
          <w:p w14:paraId="5C4CEDFE" w14:textId="77777777" w:rsidR="002C29EC" w:rsidRDefault="002C29EC" w:rsidP="002C29EC">
            <w:pPr>
              <w:rPr>
                <w:rFonts w:cs="Times New Roman (Headings CS)"/>
                <w:szCs w:val="26"/>
              </w:rPr>
            </w:pPr>
          </w:p>
          <w:p w14:paraId="25CFF17D" w14:textId="060F7D11" w:rsidR="002C29EC" w:rsidRDefault="002C29EC" w:rsidP="002C29EC">
            <w:pPr>
              <w:rPr>
                <w:rFonts w:cs="Times New Roman (Headings CS)"/>
                <w:szCs w:val="26"/>
              </w:rPr>
            </w:pPr>
            <w:r w:rsidRPr="002C29EC">
              <w:rPr>
                <w:rFonts w:cs="Times New Roman (Headings CS)"/>
                <w:b/>
                <w:bCs/>
                <w:szCs w:val="26"/>
              </w:rPr>
              <w:t>Key Achievements</w:t>
            </w:r>
            <w:r>
              <w:rPr>
                <w:rFonts w:cs="Times New Roman (Headings CS)"/>
                <w:szCs w:val="26"/>
              </w:rPr>
              <w:t>:</w:t>
            </w:r>
          </w:p>
          <w:p w14:paraId="5531CE6A" w14:textId="77777777" w:rsidR="002C29EC" w:rsidRDefault="002C29EC" w:rsidP="00294A21">
            <w:pPr>
              <w:pStyle w:val="ListParagraph"/>
              <w:numPr>
                <w:ilvl w:val="0"/>
                <w:numId w:val="9"/>
              </w:numPr>
              <w:rPr>
                <w:rFonts w:cs="Times New Roman (Headings CS)"/>
                <w:szCs w:val="26"/>
              </w:rPr>
            </w:pPr>
            <w:r w:rsidRPr="002C29EC">
              <w:rPr>
                <w:rFonts w:cs="Times New Roman (Headings CS)"/>
                <w:szCs w:val="26"/>
              </w:rPr>
              <w:t>Delivered $2.7M in annual efficiency gains through process simplification and automation.</w:t>
            </w:r>
          </w:p>
          <w:p w14:paraId="5E493AA2" w14:textId="77777777" w:rsidR="002C29EC" w:rsidRDefault="002C29EC" w:rsidP="00350211">
            <w:pPr>
              <w:pStyle w:val="ListParagraph"/>
              <w:numPr>
                <w:ilvl w:val="0"/>
                <w:numId w:val="9"/>
              </w:numPr>
              <w:rPr>
                <w:rFonts w:cs="Times New Roman (Headings CS)"/>
                <w:szCs w:val="26"/>
              </w:rPr>
            </w:pPr>
            <w:r w:rsidRPr="002C29EC">
              <w:rPr>
                <w:rFonts w:cs="Times New Roman (Headings CS)"/>
                <w:szCs w:val="26"/>
              </w:rPr>
              <w:t xml:space="preserve">Raised </w:t>
            </w:r>
            <w:proofErr w:type="gramStart"/>
            <w:r w:rsidRPr="002C29EC">
              <w:rPr>
                <w:rFonts w:cs="Times New Roman (Headings CS)"/>
                <w:szCs w:val="26"/>
              </w:rPr>
              <w:t>HR service</w:t>
            </w:r>
            <w:proofErr w:type="gramEnd"/>
            <w:r w:rsidRPr="002C29EC">
              <w:rPr>
                <w:rFonts w:cs="Times New Roman (Headings CS)"/>
                <w:szCs w:val="26"/>
              </w:rPr>
              <w:t xml:space="preserve"> satisfaction from 62% to 91% by embedding employee-led design and data-driven performance metrics.</w:t>
            </w:r>
          </w:p>
          <w:p w14:paraId="0ACC5BEA" w14:textId="77777777" w:rsidR="002C29EC" w:rsidRDefault="002C29EC" w:rsidP="005E1AE2">
            <w:pPr>
              <w:pStyle w:val="ListParagraph"/>
              <w:numPr>
                <w:ilvl w:val="0"/>
                <w:numId w:val="9"/>
              </w:numPr>
              <w:rPr>
                <w:rFonts w:cs="Times New Roman (Headings CS)"/>
                <w:szCs w:val="26"/>
              </w:rPr>
            </w:pPr>
            <w:r w:rsidRPr="002C29EC">
              <w:rPr>
                <w:rFonts w:cs="Times New Roman (Headings CS)"/>
                <w:szCs w:val="26"/>
              </w:rPr>
              <w:t>Cut onboarding time by 50%, improving Day-30 retention by 18%.</w:t>
            </w:r>
          </w:p>
          <w:p w14:paraId="54F82473" w14:textId="7F76C765" w:rsidR="007E2EAA" w:rsidRDefault="002C29EC" w:rsidP="005E1AE2">
            <w:pPr>
              <w:pStyle w:val="ListParagraph"/>
              <w:numPr>
                <w:ilvl w:val="0"/>
                <w:numId w:val="9"/>
              </w:numPr>
              <w:rPr>
                <w:rFonts w:cs="Times New Roman (Headings CS)"/>
                <w:szCs w:val="26"/>
              </w:rPr>
            </w:pPr>
            <w:r w:rsidRPr="002C29EC">
              <w:rPr>
                <w:rFonts w:cs="Times New Roman (Headings CS)"/>
                <w:szCs w:val="26"/>
              </w:rPr>
              <w:t>Built HR governance and feedback loops that institutionalized accountability and service excellence.</w:t>
            </w:r>
          </w:p>
          <w:p w14:paraId="525380C9" w14:textId="77777777" w:rsidR="002C29EC" w:rsidRPr="002C29EC" w:rsidRDefault="002C29EC" w:rsidP="002C29EC">
            <w:pPr>
              <w:pStyle w:val="ListParagraph"/>
              <w:ind w:left="720"/>
              <w:rPr>
                <w:rFonts w:cs="Times New Roman (Headings CS)"/>
                <w:szCs w:val="26"/>
              </w:rPr>
            </w:pPr>
          </w:p>
          <w:p w14:paraId="33FC3D5F" w14:textId="77777777" w:rsidR="00C90B9E" w:rsidRDefault="00C90B9E" w:rsidP="00E35593">
            <w:pPr>
              <w:rPr>
                <w:rFonts w:cs="Times New Roman (Headings CS)"/>
                <w:szCs w:val="26"/>
                <w:lang w:val="en-PH"/>
              </w:rPr>
            </w:pPr>
            <w:r w:rsidRPr="00C90B9E">
              <w:rPr>
                <w:rFonts w:cs="Times New Roman (Headings CS)"/>
                <w:b/>
                <w:bCs/>
                <w:i/>
                <w:iCs/>
                <w:szCs w:val="26"/>
                <w:lang w:val="en-PH"/>
              </w:rPr>
              <w:t>HR Talent &amp; Organization Manager – Supply Chain | 2020–2021</w:t>
            </w:r>
            <w:r w:rsidRPr="00C90B9E">
              <w:rPr>
                <w:rFonts w:cs="Times New Roman (Headings CS)"/>
                <w:szCs w:val="26"/>
                <w:lang w:val="en-PH"/>
              </w:rPr>
              <w:br/>
            </w:r>
          </w:p>
          <w:p w14:paraId="0B929D85" w14:textId="77777777" w:rsidR="002C29EC" w:rsidRDefault="002C29EC" w:rsidP="002C29EC">
            <w:pPr>
              <w:rPr>
                <w:rFonts w:cs="Times New Roman (Headings CS)"/>
                <w:szCs w:val="26"/>
                <w:lang w:val="en-PH"/>
              </w:rPr>
            </w:pPr>
            <w:r w:rsidRPr="002C29EC">
              <w:rPr>
                <w:rFonts w:cs="Times New Roman (Headings CS)"/>
                <w:b/>
                <w:bCs/>
                <w:szCs w:val="26"/>
                <w:lang w:val="en-PH"/>
              </w:rPr>
              <w:t>Scope</w:t>
            </w:r>
            <w:r w:rsidRPr="002C29EC">
              <w:rPr>
                <w:rFonts w:cs="Times New Roman (Headings CS)"/>
                <w:szCs w:val="26"/>
                <w:lang w:val="en-PH"/>
              </w:rPr>
              <w:t>: Partnered with the VP of Supply Chain to manage capability, succession, and engagement strategy for 6,000+ employees in manufacturing and logistics.</w:t>
            </w:r>
          </w:p>
          <w:p w14:paraId="101CBD12" w14:textId="77777777" w:rsidR="002C29EC" w:rsidRPr="002C29EC" w:rsidRDefault="002C29EC" w:rsidP="002C29EC">
            <w:pPr>
              <w:rPr>
                <w:rFonts w:cs="Times New Roman (Headings CS)"/>
                <w:szCs w:val="26"/>
                <w:lang w:val="en-PH"/>
              </w:rPr>
            </w:pPr>
          </w:p>
          <w:p w14:paraId="12B1BDD4" w14:textId="77777777" w:rsidR="002C29EC" w:rsidRDefault="002C29EC" w:rsidP="002C29EC">
            <w:pPr>
              <w:rPr>
                <w:rFonts w:cs="Times New Roman (Headings CS)"/>
                <w:szCs w:val="26"/>
                <w:lang w:val="en-PH"/>
              </w:rPr>
            </w:pPr>
            <w:r w:rsidRPr="002C29EC">
              <w:rPr>
                <w:rFonts w:cs="Times New Roman (Headings CS)"/>
                <w:b/>
                <w:bCs/>
                <w:szCs w:val="26"/>
                <w:lang w:val="en-PH"/>
              </w:rPr>
              <w:t>Responsibilities</w:t>
            </w:r>
            <w:r w:rsidRPr="002C29EC">
              <w:rPr>
                <w:rFonts w:cs="Times New Roman (Headings CS)"/>
                <w:szCs w:val="26"/>
                <w:lang w:val="en-PH"/>
              </w:rPr>
              <w:t>: Designed and implemented leadership and development programs to strengthen pipeline and retention across critical functions.</w:t>
            </w:r>
          </w:p>
          <w:p w14:paraId="1BBA48EB" w14:textId="77777777" w:rsidR="002C29EC" w:rsidRPr="002C29EC" w:rsidRDefault="002C29EC" w:rsidP="002C29EC">
            <w:pPr>
              <w:rPr>
                <w:rFonts w:cs="Times New Roman (Headings CS)"/>
                <w:szCs w:val="26"/>
                <w:lang w:val="en-PH"/>
              </w:rPr>
            </w:pPr>
          </w:p>
          <w:p w14:paraId="52A6C8E4" w14:textId="47CC1E92" w:rsidR="007E2EAA" w:rsidRPr="002C29EC" w:rsidRDefault="002C29EC" w:rsidP="002C29EC">
            <w:pPr>
              <w:rPr>
                <w:rFonts w:cs="Times New Roman (Headings CS)"/>
                <w:b/>
                <w:bCs/>
                <w:szCs w:val="26"/>
                <w:lang w:val="en-PH"/>
              </w:rPr>
            </w:pPr>
            <w:r w:rsidRPr="002C29EC">
              <w:rPr>
                <w:rFonts w:cs="Times New Roman (Headings CS)"/>
                <w:b/>
                <w:bCs/>
                <w:szCs w:val="26"/>
                <w:lang w:val="en-PH"/>
              </w:rPr>
              <w:t>Key Achievements:</w:t>
            </w:r>
          </w:p>
          <w:p w14:paraId="64E2D3CF" w14:textId="54277306" w:rsidR="002C29EC" w:rsidRPr="002C29EC" w:rsidRDefault="002C29EC" w:rsidP="002C29EC">
            <w:pPr>
              <w:numPr>
                <w:ilvl w:val="0"/>
                <w:numId w:val="10"/>
              </w:numPr>
              <w:rPr>
                <w:rFonts w:cs="Times New Roman (Headings CS)"/>
                <w:szCs w:val="26"/>
                <w:lang w:val="en-PH"/>
              </w:rPr>
            </w:pPr>
            <w:r w:rsidRPr="002C29EC">
              <w:rPr>
                <w:rFonts w:cs="Times New Roman (Headings CS)"/>
                <w:szCs w:val="26"/>
                <w:lang w:val="en-PH"/>
              </w:rPr>
              <w:t>Rolled out “Next Gen Leaders,” filling 80% of team lead roles internally.</w:t>
            </w:r>
          </w:p>
          <w:p w14:paraId="1A71EBB5" w14:textId="1136F9E4" w:rsidR="002C29EC" w:rsidRPr="002C29EC" w:rsidRDefault="002C29EC" w:rsidP="002C29EC">
            <w:pPr>
              <w:numPr>
                <w:ilvl w:val="0"/>
                <w:numId w:val="10"/>
              </w:numPr>
              <w:rPr>
                <w:rFonts w:cs="Times New Roman (Headings CS)"/>
                <w:szCs w:val="26"/>
                <w:lang w:val="en-PH"/>
              </w:rPr>
            </w:pPr>
            <w:r w:rsidRPr="002C29EC">
              <w:rPr>
                <w:rFonts w:cs="Times New Roman (Headings CS)"/>
                <w:szCs w:val="26"/>
                <w:lang w:val="en-PH"/>
              </w:rPr>
              <w:t>Increased internal mobility by 22% and raised frontline engagement by 12 points.</w:t>
            </w:r>
          </w:p>
          <w:p w14:paraId="48027D11" w14:textId="1F6C372D" w:rsidR="007E2EAA" w:rsidRPr="002C29EC" w:rsidRDefault="002C29EC" w:rsidP="002C29EC">
            <w:pPr>
              <w:pStyle w:val="ListParagraph"/>
              <w:numPr>
                <w:ilvl w:val="0"/>
                <w:numId w:val="10"/>
              </w:numPr>
              <w:rPr>
                <w:rFonts w:cs="Times New Roman (Headings CS)"/>
                <w:szCs w:val="26"/>
              </w:rPr>
            </w:pPr>
            <w:r w:rsidRPr="002C29EC">
              <w:rPr>
                <w:rFonts w:cs="Times New Roman (Headings CS)"/>
                <w:szCs w:val="26"/>
                <w:lang w:val="en-PH"/>
              </w:rPr>
              <w:t>Embedded succession planning frameworks that improved leadership readiness across manufacturing sites.</w:t>
            </w:r>
          </w:p>
          <w:p w14:paraId="532B30D3" w14:textId="77777777" w:rsidR="002C29EC" w:rsidRPr="007E2EAA" w:rsidRDefault="002C29EC" w:rsidP="002C29EC">
            <w:pPr>
              <w:pStyle w:val="ListParagraph"/>
              <w:ind w:left="720"/>
              <w:rPr>
                <w:rFonts w:cs="Times New Roman (Headings CS)"/>
                <w:szCs w:val="26"/>
              </w:rPr>
            </w:pPr>
          </w:p>
          <w:p w14:paraId="51C9E9BD" w14:textId="47BF49E4" w:rsidR="00C90B9E" w:rsidRDefault="002C29EC" w:rsidP="00E35593">
            <w:pPr>
              <w:rPr>
                <w:lang w:val="en-PH"/>
              </w:rPr>
            </w:pPr>
            <w:r w:rsidRPr="002C29EC">
              <w:rPr>
                <w:b/>
                <w:bCs/>
                <w:lang w:val="en-PH"/>
              </w:rPr>
              <w:t>DHL Global Forwarding</w:t>
            </w:r>
            <w:r w:rsidR="00C90B9E" w:rsidRPr="00C90B9E">
              <w:rPr>
                <w:lang w:val="en-PH"/>
              </w:rPr>
              <w:br/>
            </w:r>
            <w:r w:rsidRPr="002C29EC">
              <w:rPr>
                <w:b/>
                <w:bCs/>
                <w:i/>
                <w:iCs/>
                <w:lang w:val="en-PH"/>
              </w:rPr>
              <w:t>Country Head of HR | Philippines | 2019</w:t>
            </w:r>
            <w:r w:rsidR="00C90B9E" w:rsidRPr="00C90B9E">
              <w:rPr>
                <w:lang w:val="en-PH"/>
              </w:rPr>
              <w:br/>
            </w:r>
          </w:p>
          <w:p w14:paraId="7593AAE1" w14:textId="77777777" w:rsidR="002C29EC" w:rsidRDefault="002C29EC" w:rsidP="002C29EC">
            <w:r w:rsidRPr="002C29EC">
              <w:rPr>
                <w:b/>
                <w:bCs/>
              </w:rPr>
              <w:t>Scope:</w:t>
            </w:r>
            <w:r w:rsidRPr="002C29EC">
              <w:t xml:space="preserve"> Dual-reported to the Managing Director and Regional HR, leading the people strategy for 1,300 employees across Operations, Sales, and Freight Forwarding. Managed a 12-member HR team (4 direct reports) and supported talent initiatives for the Philippines, India, and Malaysia.</w:t>
            </w:r>
          </w:p>
          <w:p w14:paraId="12FD0460" w14:textId="77777777" w:rsidR="002C29EC" w:rsidRDefault="002C29EC" w:rsidP="002C29EC">
            <w:r w:rsidRPr="002C29EC">
              <w:br/>
            </w:r>
            <w:r w:rsidRPr="002C29EC">
              <w:rPr>
                <w:b/>
                <w:bCs/>
              </w:rPr>
              <w:t>Responsibilities:</w:t>
            </w:r>
            <w:r w:rsidRPr="002C29EC">
              <w:t xml:space="preserve"> Directed full-spectrum HR delivery including talent acquisition, performance management, employee relations, compliance, and organization development.</w:t>
            </w:r>
          </w:p>
          <w:p w14:paraId="28BA9CEA" w14:textId="77777777" w:rsidR="002C29EC" w:rsidRDefault="002C29EC" w:rsidP="002C29EC"/>
          <w:p w14:paraId="389ADBB1" w14:textId="77777777" w:rsidR="002C29EC" w:rsidRDefault="002C29EC" w:rsidP="002C29EC"/>
          <w:p w14:paraId="17277287" w14:textId="1A228025" w:rsidR="002C29EC" w:rsidRPr="002C29EC" w:rsidRDefault="002C29EC" w:rsidP="002C29EC">
            <w:r w:rsidRPr="002C29EC">
              <w:br/>
            </w:r>
            <w:r w:rsidRPr="002C29EC">
              <w:rPr>
                <w:b/>
                <w:bCs/>
              </w:rPr>
              <w:t>Key Achievements:</w:t>
            </w:r>
          </w:p>
          <w:p w14:paraId="5F615093" w14:textId="77777777" w:rsidR="002C29EC" w:rsidRPr="002C29EC" w:rsidRDefault="002C29EC" w:rsidP="002C29EC">
            <w:pPr>
              <w:numPr>
                <w:ilvl w:val="0"/>
                <w:numId w:val="17"/>
              </w:numPr>
            </w:pPr>
            <w:r w:rsidRPr="002C29EC">
              <w:t>Reduced compliance exposure within three months through governance audits and policy standardization.</w:t>
            </w:r>
          </w:p>
          <w:p w14:paraId="335D05B3" w14:textId="77777777" w:rsidR="002C29EC" w:rsidRPr="002C29EC" w:rsidRDefault="002C29EC" w:rsidP="002C29EC">
            <w:pPr>
              <w:numPr>
                <w:ilvl w:val="0"/>
                <w:numId w:val="17"/>
              </w:numPr>
            </w:pPr>
            <w:r w:rsidRPr="002C29EC">
              <w:t>Deployed talent acquisition bots that doubled sourcing capacity without increasing headcount.</w:t>
            </w:r>
          </w:p>
          <w:p w14:paraId="12B065E4" w14:textId="77777777" w:rsidR="002C29EC" w:rsidRDefault="002C29EC" w:rsidP="002C29EC">
            <w:pPr>
              <w:numPr>
                <w:ilvl w:val="0"/>
                <w:numId w:val="17"/>
              </w:numPr>
            </w:pPr>
            <w:r w:rsidRPr="002C29EC">
              <w:t>Introduced AskHR, a ServiceNow-powered tiered service delivery model that improved HR turnaround time by 35%.</w:t>
            </w:r>
          </w:p>
          <w:p w14:paraId="50033906" w14:textId="0B6B7BDB" w:rsidR="00E81BCD" w:rsidRPr="002C29EC" w:rsidRDefault="00E81BCD" w:rsidP="002C29EC">
            <w:pPr>
              <w:numPr>
                <w:ilvl w:val="0"/>
                <w:numId w:val="17"/>
              </w:numPr>
            </w:pPr>
            <w:r w:rsidRPr="00E81BCD">
              <w:t>Collaborated with regional HR to align people programs with Southeast Asia’s business growth priorities.</w:t>
            </w:r>
          </w:p>
          <w:p w14:paraId="52087C62" w14:textId="77777777" w:rsidR="00C90B9E" w:rsidRDefault="00C90B9E" w:rsidP="00E35593"/>
          <w:p w14:paraId="50534E0A" w14:textId="187F495C" w:rsidR="00E35593" w:rsidRPr="00E35593" w:rsidRDefault="002C29EC" w:rsidP="00E35593">
            <w:pPr>
              <w:rPr>
                <w:b/>
                <w:bCs/>
              </w:rPr>
            </w:pPr>
            <w:r>
              <w:rPr>
                <w:b/>
                <w:bCs/>
              </w:rPr>
              <w:t>Sutherland Global Services</w:t>
            </w:r>
          </w:p>
          <w:p w14:paraId="2AD631A2" w14:textId="3BE16600" w:rsidR="00E35593" w:rsidRDefault="002C29EC" w:rsidP="00E35593">
            <w:pPr>
              <w:rPr>
                <w:b/>
                <w:bCs/>
                <w:i/>
                <w:iCs/>
              </w:rPr>
            </w:pPr>
            <w:r w:rsidRPr="002C29EC">
              <w:rPr>
                <w:b/>
                <w:bCs/>
                <w:i/>
                <w:iCs/>
              </w:rPr>
              <w:t>Director, Global HR &amp; Talent Development (APAC &amp; EMEA) | 2017–2019</w:t>
            </w:r>
          </w:p>
          <w:p w14:paraId="5E6EA81A" w14:textId="77777777" w:rsidR="002C29EC" w:rsidRDefault="002C29EC" w:rsidP="00E35593"/>
          <w:p w14:paraId="0F5084D5" w14:textId="77777777" w:rsidR="002C29EC" w:rsidRDefault="002C29EC" w:rsidP="002C29EC">
            <w:r w:rsidRPr="002C29EC">
              <w:rPr>
                <w:b/>
                <w:bCs/>
              </w:rPr>
              <w:t>Scope:</w:t>
            </w:r>
            <w:r w:rsidRPr="002C29EC">
              <w:t xml:space="preserve"> Directed HRBP and Talent teams supporting 25,000 FTEs across the Philippines, India, Egypt, and Africa, with a matrix reporting line to the VP of HR. Managed eight senior managers across regions.</w:t>
            </w:r>
          </w:p>
          <w:p w14:paraId="0CA55731" w14:textId="6338AF6E" w:rsidR="002C29EC" w:rsidRDefault="002C29EC" w:rsidP="002C29EC">
            <w:r w:rsidRPr="002C29EC">
              <w:br/>
            </w:r>
            <w:r w:rsidRPr="002C29EC">
              <w:rPr>
                <w:b/>
                <w:bCs/>
              </w:rPr>
              <w:t>Responsibilities:</w:t>
            </w:r>
            <w:r w:rsidRPr="002C29EC">
              <w:t xml:space="preserve"> Oversaw talent management, capability building, and succession planning initiatives across multi-country operations.</w:t>
            </w:r>
            <w:r w:rsidR="00E81BCD">
              <w:t xml:space="preserve"> </w:t>
            </w:r>
            <w:r w:rsidR="00E81BCD" w:rsidRPr="00E81BCD">
              <w:t>Served as strategic HR business partner to regional delivery heads, enabling cross-market scalability and leadership continuity.</w:t>
            </w:r>
          </w:p>
          <w:p w14:paraId="2A0EB32B" w14:textId="1F048D16" w:rsidR="002C29EC" w:rsidRPr="002C29EC" w:rsidRDefault="002C29EC" w:rsidP="002C29EC">
            <w:r w:rsidRPr="002C29EC">
              <w:br/>
            </w:r>
            <w:r w:rsidRPr="002C29EC">
              <w:rPr>
                <w:b/>
                <w:bCs/>
              </w:rPr>
              <w:t>Key Achievements:</w:t>
            </w:r>
          </w:p>
          <w:p w14:paraId="10FC4EF1" w14:textId="77777777" w:rsidR="002C29EC" w:rsidRPr="002C29EC" w:rsidRDefault="002C29EC" w:rsidP="002C29EC">
            <w:pPr>
              <w:numPr>
                <w:ilvl w:val="0"/>
                <w:numId w:val="18"/>
              </w:numPr>
            </w:pPr>
            <w:r w:rsidRPr="002C29EC">
              <w:t>Drove end-to-end talent management transformation, reducing attrition in top-performing teams by 35%.</w:t>
            </w:r>
          </w:p>
          <w:p w14:paraId="3A6D309E" w14:textId="77777777" w:rsidR="002C29EC" w:rsidRPr="002C29EC" w:rsidRDefault="002C29EC" w:rsidP="002C29EC">
            <w:pPr>
              <w:numPr>
                <w:ilvl w:val="0"/>
                <w:numId w:val="18"/>
              </w:numPr>
            </w:pPr>
            <w:r w:rsidRPr="002C29EC">
              <w:t>Improved employee NPS from +6 to +38 by redefining career pathways and mobility frameworks.</w:t>
            </w:r>
          </w:p>
          <w:p w14:paraId="09EEF8AA" w14:textId="77777777" w:rsidR="002C29EC" w:rsidRDefault="002C29EC" w:rsidP="002C29EC">
            <w:pPr>
              <w:numPr>
                <w:ilvl w:val="0"/>
                <w:numId w:val="18"/>
              </w:numPr>
            </w:pPr>
            <w:r w:rsidRPr="002C29EC">
              <w:t>Built regional leadership pipeline programs that became benchmarks for enterprise replication.</w:t>
            </w:r>
          </w:p>
          <w:p w14:paraId="6090C374" w14:textId="77777777" w:rsidR="00C90B9E" w:rsidRDefault="00C90B9E" w:rsidP="00E35593"/>
          <w:p w14:paraId="4E93A4B1" w14:textId="3CF6FE9E" w:rsidR="00E35593" w:rsidRDefault="00E35593" w:rsidP="00E35593">
            <w:pPr>
              <w:rPr>
                <w:lang w:val="en-PH"/>
              </w:rPr>
            </w:pPr>
            <w:r w:rsidRPr="00E35593">
              <w:rPr>
                <w:b/>
                <w:bCs/>
                <w:lang w:val="en-PH"/>
              </w:rPr>
              <w:t>The Citco Group of Companies</w:t>
            </w:r>
            <w:r w:rsidRPr="00E35593">
              <w:rPr>
                <w:lang w:val="en-PH"/>
              </w:rPr>
              <w:br/>
            </w:r>
            <w:r w:rsidRPr="00E35593">
              <w:rPr>
                <w:b/>
                <w:bCs/>
                <w:i/>
                <w:iCs/>
                <w:lang w:val="en-PH"/>
              </w:rPr>
              <w:t>SVP, Global HR &amp; Talent | 2016–2017</w:t>
            </w:r>
            <w:r w:rsidRPr="00E35593">
              <w:rPr>
                <w:b/>
                <w:bCs/>
                <w:lang w:val="en-PH"/>
              </w:rPr>
              <w:br/>
            </w:r>
          </w:p>
          <w:p w14:paraId="2D6385FB" w14:textId="77777777" w:rsidR="002C29EC" w:rsidRDefault="002C29EC" w:rsidP="002C29EC">
            <w:r w:rsidRPr="002C29EC">
              <w:rPr>
                <w:b/>
                <w:bCs/>
              </w:rPr>
              <w:t>Scope:</w:t>
            </w:r>
            <w:r w:rsidRPr="002C29EC">
              <w:t xml:space="preserve"> Led the Global L&amp;OD Center of Excellence covering seven delivery centers: Manila, Singapore, Amsterdam, Dublin, Toronto, New York, and India. Held full HR P&amp;L accountability.</w:t>
            </w:r>
          </w:p>
          <w:p w14:paraId="4DEC132F" w14:textId="77777777" w:rsidR="002C29EC" w:rsidRDefault="002C29EC" w:rsidP="002C29EC">
            <w:r w:rsidRPr="002C29EC">
              <w:br/>
            </w:r>
            <w:r w:rsidRPr="002C29EC">
              <w:rPr>
                <w:b/>
                <w:bCs/>
              </w:rPr>
              <w:t>Responsibilities:</w:t>
            </w:r>
            <w:r w:rsidRPr="002C29EC">
              <w:t xml:space="preserve"> Partnered with global C-suite to embed leadership and performance frameworks across financial and technology operations.</w:t>
            </w:r>
          </w:p>
          <w:p w14:paraId="0EDF5442" w14:textId="5E17B0F2" w:rsidR="002C29EC" w:rsidRPr="002C29EC" w:rsidRDefault="002C29EC" w:rsidP="002C29EC">
            <w:r w:rsidRPr="002C29EC">
              <w:br/>
            </w:r>
            <w:r w:rsidRPr="002C29EC">
              <w:rPr>
                <w:b/>
                <w:bCs/>
              </w:rPr>
              <w:t>Key Achievements:</w:t>
            </w:r>
          </w:p>
          <w:p w14:paraId="28B0244C" w14:textId="77777777" w:rsidR="002C29EC" w:rsidRPr="002C29EC" w:rsidRDefault="002C29EC" w:rsidP="002C29EC">
            <w:pPr>
              <w:numPr>
                <w:ilvl w:val="0"/>
                <w:numId w:val="19"/>
              </w:numPr>
            </w:pPr>
            <w:r w:rsidRPr="002C29EC">
              <w:t>Launched global leadership academy rolled out across all delivery centers.</w:t>
            </w:r>
          </w:p>
          <w:p w14:paraId="086D338E" w14:textId="77777777" w:rsidR="002C29EC" w:rsidRPr="002C29EC" w:rsidRDefault="002C29EC" w:rsidP="002C29EC">
            <w:pPr>
              <w:numPr>
                <w:ilvl w:val="0"/>
                <w:numId w:val="19"/>
              </w:numPr>
            </w:pPr>
            <w:r w:rsidRPr="002C29EC">
              <w:lastRenderedPageBreak/>
              <w:t>Standardized KPI frameworks and culture metrics, enabling unified performance tracking globally.</w:t>
            </w:r>
          </w:p>
          <w:p w14:paraId="605F8E0C" w14:textId="77777777" w:rsidR="002C29EC" w:rsidRPr="002C29EC" w:rsidRDefault="002C29EC" w:rsidP="002C29EC">
            <w:pPr>
              <w:numPr>
                <w:ilvl w:val="0"/>
                <w:numId w:val="19"/>
              </w:numPr>
            </w:pPr>
            <w:r w:rsidRPr="002C29EC">
              <w:t>Aligned HR governance with enterprise-wide strategic growth and technology integration.</w:t>
            </w:r>
          </w:p>
          <w:p w14:paraId="0D41638D" w14:textId="77777777" w:rsidR="002C29EC" w:rsidRDefault="002C29EC" w:rsidP="00E35593">
            <w:pPr>
              <w:rPr>
                <w:b/>
                <w:bCs/>
                <w:lang w:val="en-PH"/>
              </w:rPr>
            </w:pPr>
          </w:p>
          <w:p w14:paraId="3FAF1523" w14:textId="74A8DD5E" w:rsidR="00E35593" w:rsidRPr="00E35593" w:rsidRDefault="00E35593" w:rsidP="00E35593">
            <w:pPr>
              <w:rPr>
                <w:b/>
                <w:bCs/>
                <w:lang w:val="en-PH"/>
              </w:rPr>
            </w:pPr>
            <w:r w:rsidRPr="00E35593">
              <w:rPr>
                <w:b/>
                <w:bCs/>
                <w:lang w:val="en-PH"/>
              </w:rPr>
              <w:t>Hewlett Packard Enterprise | HP</w:t>
            </w:r>
          </w:p>
          <w:p w14:paraId="3ACAA39A" w14:textId="77777777" w:rsidR="00E35593" w:rsidRPr="00E35593" w:rsidRDefault="00E35593" w:rsidP="00E35593">
            <w:pPr>
              <w:rPr>
                <w:b/>
                <w:bCs/>
                <w:i/>
                <w:iCs/>
                <w:lang w:val="en-PH"/>
              </w:rPr>
            </w:pPr>
            <w:r w:rsidRPr="00E35593">
              <w:rPr>
                <w:b/>
                <w:bCs/>
                <w:i/>
                <w:iCs/>
                <w:lang w:val="en-PH"/>
              </w:rPr>
              <w:t>Regional L&amp;D Manager, Asia Pacific &amp; Japan | 2013–2016</w:t>
            </w:r>
          </w:p>
          <w:p w14:paraId="38765148" w14:textId="77777777" w:rsidR="00E35593" w:rsidRDefault="00E35593" w:rsidP="00E35593">
            <w:pPr>
              <w:rPr>
                <w:lang w:val="en-PH"/>
              </w:rPr>
            </w:pPr>
          </w:p>
          <w:p w14:paraId="4D18A584" w14:textId="77777777" w:rsidR="002C29EC" w:rsidRDefault="002C29EC" w:rsidP="002C29EC">
            <w:r w:rsidRPr="002C29EC">
              <w:rPr>
                <w:b/>
                <w:bCs/>
              </w:rPr>
              <w:t>Scope:</w:t>
            </w:r>
            <w:r w:rsidRPr="002C29EC">
              <w:t xml:space="preserve"> Managed L&amp;D and OD strategy for 14,000 employees across 13 countries in Asia Pacific and Oceania.</w:t>
            </w:r>
          </w:p>
          <w:p w14:paraId="25F06692" w14:textId="77777777" w:rsidR="002C29EC" w:rsidRDefault="002C29EC" w:rsidP="002C29EC">
            <w:r w:rsidRPr="002C29EC">
              <w:br/>
            </w:r>
            <w:r w:rsidRPr="002C29EC">
              <w:rPr>
                <w:b/>
                <w:bCs/>
              </w:rPr>
              <w:t>Responsibilities:</w:t>
            </w:r>
            <w:r w:rsidRPr="002C29EC">
              <w:t xml:space="preserve"> Partnered with HR and business leaders in Sales, Tech, and Supply Chain to standardize learning frameworks linked to business KPIs.</w:t>
            </w:r>
          </w:p>
          <w:p w14:paraId="7FC789D5" w14:textId="4592A5D3" w:rsidR="002C29EC" w:rsidRPr="002C29EC" w:rsidRDefault="002C29EC" w:rsidP="002C29EC">
            <w:r w:rsidRPr="002C29EC">
              <w:br/>
            </w:r>
            <w:r w:rsidRPr="002C29EC">
              <w:rPr>
                <w:b/>
                <w:bCs/>
              </w:rPr>
              <w:t>Key Achievements:</w:t>
            </w:r>
          </w:p>
          <w:p w14:paraId="24FFA9FD" w14:textId="77777777" w:rsidR="002C29EC" w:rsidRPr="002C29EC" w:rsidRDefault="002C29EC" w:rsidP="002C29EC">
            <w:pPr>
              <w:numPr>
                <w:ilvl w:val="0"/>
                <w:numId w:val="20"/>
              </w:numPr>
            </w:pPr>
            <w:r w:rsidRPr="002C29EC">
              <w:t>Built internal certification models that improved talent readiness and bench strength region-wide.</w:t>
            </w:r>
          </w:p>
          <w:p w14:paraId="7F292141" w14:textId="77777777" w:rsidR="002C29EC" w:rsidRPr="002C29EC" w:rsidRDefault="002C29EC" w:rsidP="002C29EC">
            <w:pPr>
              <w:numPr>
                <w:ilvl w:val="0"/>
                <w:numId w:val="20"/>
              </w:numPr>
            </w:pPr>
            <w:r w:rsidRPr="002C29EC">
              <w:t>Designed regional learning strategy integrated with business performance measures.</w:t>
            </w:r>
          </w:p>
          <w:p w14:paraId="67EDAC5A" w14:textId="77777777" w:rsidR="002C29EC" w:rsidRPr="002C29EC" w:rsidRDefault="002C29EC" w:rsidP="002C29EC">
            <w:pPr>
              <w:numPr>
                <w:ilvl w:val="0"/>
                <w:numId w:val="20"/>
              </w:numPr>
            </w:pPr>
            <w:r w:rsidRPr="002C29EC">
              <w:t>Scaled training design and delivery models across APJ through shared best practices and technology-enabled learning.</w:t>
            </w:r>
          </w:p>
          <w:p w14:paraId="63276E83" w14:textId="77777777" w:rsidR="00E35593" w:rsidRPr="00E35593" w:rsidRDefault="00E35593" w:rsidP="00E35593">
            <w:pPr>
              <w:rPr>
                <w:lang w:val="en-PH"/>
              </w:rPr>
            </w:pPr>
          </w:p>
          <w:p w14:paraId="7AC771E0" w14:textId="77777777" w:rsidR="00E35593" w:rsidRPr="00E35593" w:rsidRDefault="00E35593" w:rsidP="00E35593">
            <w:pPr>
              <w:rPr>
                <w:b/>
                <w:bCs/>
                <w:lang w:val="en-PH"/>
              </w:rPr>
            </w:pPr>
            <w:r w:rsidRPr="00E35593">
              <w:rPr>
                <w:b/>
                <w:bCs/>
                <w:lang w:val="en-PH"/>
              </w:rPr>
              <w:t>Verizon Enterprise Solutions</w:t>
            </w:r>
          </w:p>
          <w:p w14:paraId="506899DB" w14:textId="77777777" w:rsidR="00E35593" w:rsidRPr="00E35593" w:rsidRDefault="00E35593" w:rsidP="00E35593">
            <w:pPr>
              <w:rPr>
                <w:b/>
                <w:bCs/>
                <w:i/>
                <w:iCs/>
                <w:lang w:val="en-PH"/>
              </w:rPr>
            </w:pPr>
            <w:r w:rsidRPr="00E35593">
              <w:rPr>
                <w:b/>
                <w:bCs/>
                <w:i/>
                <w:iCs/>
                <w:lang w:val="en-PH"/>
              </w:rPr>
              <w:t>APAC HR Consultant + Lean Six Sigma Green Belt | 2011–2013</w:t>
            </w:r>
          </w:p>
          <w:p w14:paraId="57E34D95" w14:textId="77777777" w:rsidR="00E35593" w:rsidRDefault="00E35593" w:rsidP="00E35593">
            <w:pPr>
              <w:rPr>
                <w:lang w:val="en-PH"/>
              </w:rPr>
            </w:pPr>
          </w:p>
          <w:p w14:paraId="369A3A56" w14:textId="77777777" w:rsidR="002C29EC" w:rsidRDefault="002C29EC" w:rsidP="002C29EC">
            <w:r w:rsidRPr="002C29EC">
              <w:rPr>
                <w:b/>
                <w:bCs/>
              </w:rPr>
              <w:t>Scope:</w:t>
            </w:r>
            <w:r w:rsidRPr="002C29EC">
              <w:t xml:space="preserve"> Supported end-to-end HR operations across multiple APAC markets, partnering with regional HR and business leaders to optimize onboarding, payroll, and timekeeping processes for over 3,000 employees.</w:t>
            </w:r>
          </w:p>
          <w:p w14:paraId="4669F56C" w14:textId="77777777" w:rsidR="002C29EC" w:rsidRDefault="002C29EC" w:rsidP="002C29EC">
            <w:r w:rsidRPr="002C29EC">
              <w:br/>
            </w:r>
            <w:r w:rsidRPr="002C29EC">
              <w:rPr>
                <w:b/>
                <w:bCs/>
              </w:rPr>
              <w:t>Responsibilities:</w:t>
            </w:r>
            <w:r w:rsidRPr="002C29EC">
              <w:t xml:space="preserve"> Led HR process improvement initiatives and vendor management programs focused on cycle time, service quality, and employee experience across regional hubs.</w:t>
            </w:r>
          </w:p>
          <w:p w14:paraId="6FF93248" w14:textId="55BCC8A3" w:rsidR="002C29EC" w:rsidRPr="002C29EC" w:rsidRDefault="002C29EC" w:rsidP="002C29EC">
            <w:r w:rsidRPr="002C29EC">
              <w:br/>
            </w:r>
            <w:r w:rsidRPr="002C29EC">
              <w:rPr>
                <w:b/>
                <w:bCs/>
              </w:rPr>
              <w:t>Key Achievements:</w:t>
            </w:r>
          </w:p>
          <w:p w14:paraId="460AE227" w14:textId="77777777" w:rsidR="002C29EC" w:rsidRPr="002C29EC" w:rsidRDefault="002C29EC" w:rsidP="002C29EC">
            <w:pPr>
              <w:numPr>
                <w:ilvl w:val="0"/>
                <w:numId w:val="21"/>
              </w:numPr>
            </w:pPr>
            <w:r w:rsidRPr="002C29EC">
              <w:t>Reduced onboarding cycle time by 30% and improved vendor ramp-up performance by over 50%, resulting in an 18% increase in Day-90 retention.</w:t>
            </w:r>
          </w:p>
          <w:p w14:paraId="2A92BE86" w14:textId="77777777" w:rsidR="002C29EC" w:rsidRPr="002C29EC" w:rsidRDefault="002C29EC" w:rsidP="002C29EC">
            <w:pPr>
              <w:numPr>
                <w:ilvl w:val="0"/>
                <w:numId w:val="21"/>
              </w:numPr>
            </w:pPr>
            <w:proofErr w:type="gramStart"/>
            <w:r w:rsidRPr="002C29EC">
              <w:t>Cut payroll and timekeeping complaints by 70% through</w:t>
            </w:r>
            <w:proofErr w:type="gramEnd"/>
            <w:r w:rsidRPr="002C29EC">
              <w:t xml:space="preserve"> system overhaul, process documentation, and targeted capability training.</w:t>
            </w:r>
          </w:p>
          <w:p w14:paraId="41E2781C" w14:textId="77777777" w:rsidR="00AA1273" w:rsidRPr="002C29EC" w:rsidRDefault="002C29EC" w:rsidP="002C29EC">
            <w:pPr>
              <w:numPr>
                <w:ilvl w:val="0"/>
                <w:numId w:val="21"/>
              </w:numPr>
              <w:rPr>
                <w:lang w:val="en-PH"/>
              </w:rPr>
            </w:pPr>
            <w:r w:rsidRPr="002C29EC">
              <w:t>Applied Lean Six Sigma methodology to identify process waste and streamline HR workflows across APAC.</w:t>
            </w:r>
          </w:p>
          <w:p w14:paraId="1D0D19F8" w14:textId="69F912C3" w:rsidR="002C29EC" w:rsidRPr="00E35593" w:rsidRDefault="002C29EC" w:rsidP="002C29EC">
            <w:pPr>
              <w:ind w:left="720"/>
              <w:rPr>
                <w:lang w:val="en-PH"/>
              </w:rPr>
            </w:pPr>
          </w:p>
        </w:tc>
        <w:tc>
          <w:tcPr>
            <w:tcW w:w="20" w:type="dxa"/>
            <w:vAlign w:val="center"/>
          </w:tcPr>
          <w:p w14:paraId="1AA9F45F" w14:textId="77777777" w:rsidR="00166F4D" w:rsidRDefault="00166F4D" w:rsidP="00E35593"/>
        </w:tc>
      </w:tr>
      <w:tr w:rsidR="00166F4D" w14:paraId="630F0D64" w14:textId="77777777" w:rsidTr="00133006">
        <w:trPr>
          <w:trHeight w:val="423"/>
        </w:trPr>
        <w:tc>
          <w:tcPr>
            <w:tcW w:w="545" w:type="dxa"/>
            <w:vAlign w:val="center"/>
          </w:tcPr>
          <w:p w14:paraId="68E1B8E1" w14:textId="77777777" w:rsidR="00166F4D" w:rsidRDefault="00166F4D" w:rsidP="00E35593"/>
        </w:tc>
        <w:tc>
          <w:tcPr>
            <w:tcW w:w="1170" w:type="dxa"/>
            <w:vAlign w:val="center"/>
          </w:tcPr>
          <w:p w14:paraId="367E8D52" w14:textId="77777777" w:rsidR="00166F4D" w:rsidRDefault="00000000" w:rsidP="00E35593">
            <w:pPr>
              <w:pStyle w:val="Heading1"/>
              <w:jc w:val="center"/>
            </w:pPr>
            <w:sdt>
              <w:sdtPr>
                <w:id w:val="1072317644"/>
                <w:placeholder>
                  <w:docPart w:val="6A2271ECD34A4D29803C88D54BFB1D6F"/>
                </w:placeholder>
                <w:temporary/>
                <w:showingPlcHdr/>
                <w15:appearance w15:val="hidden"/>
              </w:sdtPr>
              <w:sdtContent>
                <w:r w:rsidR="00166F4D" w:rsidRPr="00173B36">
                  <w:t>EDUCATION</w:t>
                </w:r>
              </w:sdtContent>
            </w:sdt>
          </w:p>
        </w:tc>
        <w:tc>
          <w:tcPr>
            <w:tcW w:w="1724" w:type="dxa"/>
            <w:vAlign w:val="center"/>
          </w:tcPr>
          <w:p w14:paraId="300046C0" w14:textId="77777777" w:rsidR="00166F4D" w:rsidRDefault="00166F4D" w:rsidP="00E35593">
            <w:pPr>
              <w:pStyle w:val="Heading1"/>
            </w:pPr>
          </w:p>
        </w:tc>
        <w:tc>
          <w:tcPr>
            <w:tcW w:w="976" w:type="dxa"/>
            <w:vAlign w:val="center"/>
          </w:tcPr>
          <w:p w14:paraId="15A703ED" w14:textId="77777777" w:rsidR="00166F4D" w:rsidRDefault="00166F4D" w:rsidP="00E35593"/>
        </w:tc>
        <w:tc>
          <w:tcPr>
            <w:tcW w:w="6300" w:type="dxa"/>
            <w:gridSpan w:val="5"/>
            <w:vMerge/>
            <w:vAlign w:val="center"/>
          </w:tcPr>
          <w:p w14:paraId="434E5C36" w14:textId="77777777" w:rsidR="00166F4D" w:rsidRDefault="00166F4D" w:rsidP="00E35593"/>
        </w:tc>
        <w:tc>
          <w:tcPr>
            <w:tcW w:w="20" w:type="dxa"/>
            <w:vAlign w:val="center"/>
          </w:tcPr>
          <w:p w14:paraId="3034578A" w14:textId="77777777" w:rsidR="00166F4D" w:rsidRDefault="00166F4D" w:rsidP="00E35593"/>
        </w:tc>
      </w:tr>
      <w:tr w:rsidR="00166F4D" w14:paraId="5A953DBE" w14:textId="77777777" w:rsidTr="00133006">
        <w:trPr>
          <w:trHeight w:val="423"/>
        </w:trPr>
        <w:tc>
          <w:tcPr>
            <w:tcW w:w="545" w:type="dxa"/>
            <w:vAlign w:val="center"/>
          </w:tcPr>
          <w:p w14:paraId="5381A160" w14:textId="77777777" w:rsidR="00166F4D" w:rsidRDefault="00166F4D" w:rsidP="00E35593"/>
        </w:tc>
        <w:tc>
          <w:tcPr>
            <w:tcW w:w="2894" w:type="dxa"/>
            <w:gridSpan w:val="2"/>
          </w:tcPr>
          <w:p w14:paraId="2F18B6DE" w14:textId="70BC6C01" w:rsidR="00166F4D" w:rsidRPr="00E216D4" w:rsidRDefault="00AA1273" w:rsidP="00E35593">
            <w:pPr>
              <w:pStyle w:val="Heading2"/>
            </w:pPr>
            <w:r>
              <w:t>Cebu Institute of Technology (ETEEAP)</w:t>
            </w:r>
          </w:p>
          <w:p w14:paraId="622C3811" w14:textId="68D7AEBA" w:rsidR="00166F4D" w:rsidRPr="00173B36" w:rsidRDefault="00AA1273" w:rsidP="00E35593">
            <w:pPr>
              <w:pStyle w:val="Heading3"/>
            </w:pPr>
            <w:r>
              <w:t>2022 - 2023</w:t>
            </w:r>
          </w:p>
          <w:p w14:paraId="556FC0B6" w14:textId="1CBB241B" w:rsidR="00166F4D" w:rsidRPr="00173B36" w:rsidRDefault="00AA1273" w:rsidP="00E35593">
            <w:r>
              <w:t>BS, Business Administration</w:t>
            </w:r>
          </w:p>
          <w:p w14:paraId="44BC9614" w14:textId="77777777" w:rsidR="00166F4D" w:rsidRPr="0036697C" w:rsidRDefault="00166F4D" w:rsidP="00E35593"/>
          <w:p w14:paraId="11D658FB" w14:textId="56A1116C" w:rsidR="00166F4D" w:rsidRPr="0036697C" w:rsidRDefault="00AA1273" w:rsidP="00E35593">
            <w:pPr>
              <w:pStyle w:val="Heading2"/>
            </w:pPr>
            <w:r>
              <w:t>University of Santo Tomas</w:t>
            </w:r>
          </w:p>
          <w:p w14:paraId="6720553F" w14:textId="25BD5A84" w:rsidR="00166F4D" w:rsidRPr="00173B36" w:rsidRDefault="00AA1273" w:rsidP="00E35593">
            <w:pPr>
              <w:pStyle w:val="Heading3"/>
            </w:pPr>
            <w:r>
              <w:t>1996-1998</w:t>
            </w:r>
          </w:p>
          <w:p w14:paraId="5FDB013F" w14:textId="77777777" w:rsidR="00166F4D" w:rsidRDefault="00AA1273" w:rsidP="00E35593">
            <w:r>
              <w:t>BA Communication Arts (Undergraduate)</w:t>
            </w:r>
          </w:p>
          <w:p w14:paraId="773E2A94" w14:textId="77777777" w:rsidR="00AA1273" w:rsidRDefault="00AA1273" w:rsidP="00E35593"/>
          <w:p w14:paraId="28E05071" w14:textId="77777777" w:rsidR="00AA1273" w:rsidRDefault="00AA1273" w:rsidP="00E35593">
            <w:r>
              <w:t>Duke University</w:t>
            </w:r>
          </w:p>
          <w:p w14:paraId="1C8669D7" w14:textId="77777777" w:rsidR="00AA1273" w:rsidRPr="00AA1273" w:rsidRDefault="00AA1273" w:rsidP="00E35593">
            <w:pPr>
              <w:rPr>
                <w:b/>
                <w:bCs/>
              </w:rPr>
            </w:pPr>
            <w:r w:rsidRPr="00AA1273">
              <w:rPr>
                <w:b/>
                <w:bCs/>
              </w:rPr>
              <w:t>2014-2015</w:t>
            </w:r>
          </w:p>
          <w:p w14:paraId="37C020EC" w14:textId="77777777" w:rsidR="00AA1273" w:rsidRDefault="00AA1273" w:rsidP="00E35593">
            <w:r>
              <w:t>Certificate Data Analysis and Statistical Inference</w:t>
            </w:r>
          </w:p>
          <w:p w14:paraId="0333743E" w14:textId="77777777" w:rsidR="00133006" w:rsidRPr="00133006" w:rsidRDefault="00133006" w:rsidP="00E35593">
            <w:pPr>
              <w:rPr>
                <w:b/>
                <w:bCs/>
              </w:rPr>
            </w:pPr>
            <w:r w:rsidRPr="00133006">
              <w:rPr>
                <w:b/>
                <w:bCs/>
              </w:rPr>
              <w:t>CERTIFICATION</w:t>
            </w:r>
          </w:p>
          <w:p w14:paraId="46E491E6" w14:textId="77777777" w:rsidR="00133006" w:rsidRDefault="00133006" w:rsidP="00E35593">
            <w:r>
              <w:t>GPHR</w:t>
            </w:r>
          </w:p>
          <w:p w14:paraId="6AFACB94" w14:textId="77777777" w:rsidR="00133006" w:rsidRDefault="00133006" w:rsidP="00E35593">
            <w:r>
              <w:t>Green Belt, Lean Six Sigma</w:t>
            </w:r>
          </w:p>
          <w:p w14:paraId="5E733757" w14:textId="2FC72201" w:rsidR="00133006" w:rsidRDefault="00133006" w:rsidP="00E35593">
            <w:r>
              <w:t>ITIL v3 Foundation</w:t>
            </w:r>
          </w:p>
        </w:tc>
        <w:tc>
          <w:tcPr>
            <w:tcW w:w="976" w:type="dxa"/>
            <w:vAlign w:val="center"/>
          </w:tcPr>
          <w:p w14:paraId="051EDC33" w14:textId="77777777" w:rsidR="00166F4D" w:rsidRDefault="00166F4D" w:rsidP="00E35593"/>
        </w:tc>
        <w:tc>
          <w:tcPr>
            <w:tcW w:w="6300" w:type="dxa"/>
            <w:gridSpan w:val="5"/>
            <w:vMerge/>
            <w:vAlign w:val="center"/>
          </w:tcPr>
          <w:p w14:paraId="0BF250F8" w14:textId="77777777" w:rsidR="00166F4D" w:rsidRDefault="00166F4D" w:rsidP="00E35593"/>
        </w:tc>
        <w:tc>
          <w:tcPr>
            <w:tcW w:w="20" w:type="dxa"/>
            <w:vAlign w:val="center"/>
          </w:tcPr>
          <w:p w14:paraId="6A18F5A9" w14:textId="77777777" w:rsidR="00166F4D" w:rsidRDefault="00166F4D" w:rsidP="00E35593"/>
        </w:tc>
      </w:tr>
    </w:tbl>
    <w:p w14:paraId="2A6E8AB3" w14:textId="77777777" w:rsidR="00E41AB4" w:rsidRPr="00173B36" w:rsidRDefault="00E41AB4" w:rsidP="00E81BCD"/>
    <w:sectPr w:rsidR="00E41AB4" w:rsidRPr="00173B36" w:rsidSect="009C1A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40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0D7BB" w14:textId="77777777" w:rsidR="007B01DF" w:rsidRDefault="007B01DF" w:rsidP="00BA3E51">
      <w:r>
        <w:separator/>
      </w:r>
    </w:p>
  </w:endnote>
  <w:endnote w:type="continuationSeparator" w:id="0">
    <w:p w14:paraId="00DE4EA1" w14:textId="77777777" w:rsidR="007B01DF" w:rsidRDefault="007B01DF" w:rsidP="00BA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2E15" w14:textId="77777777" w:rsidR="0014190D" w:rsidRDefault="00141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2678" w14:textId="77777777" w:rsidR="0014190D" w:rsidRDefault="00141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0528" w14:textId="77777777" w:rsidR="0014190D" w:rsidRDefault="00141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2BCC8" w14:textId="77777777" w:rsidR="007B01DF" w:rsidRDefault="007B01DF" w:rsidP="00BA3E51">
      <w:r>
        <w:separator/>
      </w:r>
    </w:p>
  </w:footnote>
  <w:footnote w:type="continuationSeparator" w:id="0">
    <w:p w14:paraId="3E1FD4E0" w14:textId="77777777" w:rsidR="007B01DF" w:rsidRDefault="007B01DF" w:rsidP="00BA3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68E7" w14:textId="77777777" w:rsidR="0014190D" w:rsidRDefault="00141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5940" w14:textId="77777777" w:rsidR="0014190D" w:rsidRDefault="00141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54F5" w14:textId="77777777" w:rsidR="0014190D" w:rsidRDefault="00141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439"/>
    <w:multiLevelType w:val="multilevel"/>
    <w:tmpl w:val="5056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67E7D"/>
    <w:multiLevelType w:val="hybridMultilevel"/>
    <w:tmpl w:val="BB508C7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20549"/>
    <w:multiLevelType w:val="hybridMultilevel"/>
    <w:tmpl w:val="F1CA654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B4D16"/>
    <w:multiLevelType w:val="multilevel"/>
    <w:tmpl w:val="C86E9916"/>
    <w:styleLink w:val="CurrentList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07724B"/>
    <w:multiLevelType w:val="hybridMultilevel"/>
    <w:tmpl w:val="F898A9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43BAC"/>
    <w:multiLevelType w:val="multilevel"/>
    <w:tmpl w:val="DE44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74728"/>
    <w:multiLevelType w:val="hybridMultilevel"/>
    <w:tmpl w:val="110438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C7E79"/>
    <w:multiLevelType w:val="multilevel"/>
    <w:tmpl w:val="94FA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E352C"/>
    <w:multiLevelType w:val="multilevel"/>
    <w:tmpl w:val="35963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730489"/>
    <w:multiLevelType w:val="multilevel"/>
    <w:tmpl w:val="755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F6190"/>
    <w:multiLevelType w:val="multilevel"/>
    <w:tmpl w:val="DB10AB74"/>
    <w:styleLink w:val="CurrentList1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E856B7"/>
    <w:multiLevelType w:val="hybridMultilevel"/>
    <w:tmpl w:val="D3F031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744B7"/>
    <w:multiLevelType w:val="multilevel"/>
    <w:tmpl w:val="A6AE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D503E2"/>
    <w:multiLevelType w:val="multilevel"/>
    <w:tmpl w:val="2C622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BE4107"/>
    <w:multiLevelType w:val="multilevel"/>
    <w:tmpl w:val="C3B8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F6A3F"/>
    <w:multiLevelType w:val="hybridMultilevel"/>
    <w:tmpl w:val="32BA52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149C4"/>
    <w:multiLevelType w:val="hybridMultilevel"/>
    <w:tmpl w:val="2B3CE758"/>
    <w:lvl w:ilvl="0" w:tplc="22B292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4C481C"/>
    <w:multiLevelType w:val="multilevel"/>
    <w:tmpl w:val="1622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F76C6"/>
    <w:multiLevelType w:val="hybridMultilevel"/>
    <w:tmpl w:val="BF5248C2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3A324C"/>
    <w:multiLevelType w:val="multilevel"/>
    <w:tmpl w:val="DB10AB74"/>
    <w:styleLink w:val="CurrentList2"/>
    <w:lvl w:ilvl="0">
      <w:start w:val="1"/>
      <w:numFmt w:val="bullet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6C4CC0"/>
    <w:multiLevelType w:val="multilevel"/>
    <w:tmpl w:val="2B3CE758"/>
    <w:styleLink w:val="CurrentList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E7697" w:themeColor="accent1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210776">
    <w:abstractNumId w:val="16"/>
  </w:num>
  <w:num w:numId="2" w16cid:durableId="1347056077">
    <w:abstractNumId w:val="10"/>
  </w:num>
  <w:num w:numId="3" w16cid:durableId="1427580610">
    <w:abstractNumId w:val="19"/>
  </w:num>
  <w:num w:numId="4" w16cid:durableId="1627155122">
    <w:abstractNumId w:val="3"/>
  </w:num>
  <w:num w:numId="5" w16cid:durableId="1119883638">
    <w:abstractNumId w:val="20"/>
  </w:num>
  <w:num w:numId="6" w16cid:durableId="2121678475">
    <w:abstractNumId w:val="2"/>
  </w:num>
  <w:num w:numId="7" w16cid:durableId="1100223912">
    <w:abstractNumId w:val="17"/>
  </w:num>
  <w:num w:numId="8" w16cid:durableId="1734112211">
    <w:abstractNumId w:val="6"/>
  </w:num>
  <w:num w:numId="9" w16cid:durableId="2125495576">
    <w:abstractNumId w:val="11"/>
  </w:num>
  <w:num w:numId="10" w16cid:durableId="443230412">
    <w:abstractNumId w:val="0"/>
  </w:num>
  <w:num w:numId="11" w16cid:durableId="687097433">
    <w:abstractNumId w:val="13"/>
  </w:num>
  <w:num w:numId="12" w16cid:durableId="1046224891">
    <w:abstractNumId w:val="4"/>
  </w:num>
  <w:num w:numId="13" w16cid:durableId="775254175">
    <w:abstractNumId w:val="7"/>
  </w:num>
  <w:num w:numId="14" w16cid:durableId="16740905">
    <w:abstractNumId w:val="15"/>
  </w:num>
  <w:num w:numId="15" w16cid:durableId="971059970">
    <w:abstractNumId w:val="1"/>
  </w:num>
  <w:num w:numId="16" w16cid:durableId="800734214">
    <w:abstractNumId w:val="18"/>
  </w:num>
  <w:num w:numId="17" w16cid:durableId="1551529023">
    <w:abstractNumId w:val="8"/>
  </w:num>
  <w:num w:numId="18" w16cid:durableId="664208525">
    <w:abstractNumId w:val="5"/>
  </w:num>
  <w:num w:numId="19" w16cid:durableId="1485198881">
    <w:abstractNumId w:val="12"/>
  </w:num>
  <w:num w:numId="20" w16cid:durableId="1498813455">
    <w:abstractNumId w:val="9"/>
  </w:num>
  <w:num w:numId="21" w16cid:durableId="5141994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CD"/>
    <w:rsid w:val="00021DEC"/>
    <w:rsid w:val="00041F8A"/>
    <w:rsid w:val="00045F2E"/>
    <w:rsid w:val="00055BBC"/>
    <w:rsid w:val="00072B26"/>
    <w:rsid w:val="00073BF3"/>
    <w:rsid w:val="00077FEB"/>
    <w:rsid w:val="00081B51"/>
    <w:rsid w:val="000A6E00"/>
    <w:rsid w:val="000B224D"/>
    <w:rsid w:val="000C7293"/>
    <w:rsid w:val="000D3891"/>
    <w:rsid w:val="000F3FE2"/>
    <w:rsid w:val="001235F6"/>
    <w:rsid w:val="001312D5"/>
    <w:rsid w:val="00133006"/>
    <w:rsid w:val="00140582"/>
    <w:rsid w:val="0014190D"/>
    <w:rsid w:val="00144334"/>
    <w:rsid w:val="00157DB0"/>
    <w:rsid w:val="00166F4D"/>
    <w:rsid w:val="00173B36"/>
    <w:rsid w:val="00177BCB"/>
    <w:rsid w:val="001A5160"/>
    <w:rsid w:val="001C6CEA"/>
    <w:rsid w:val="001E5794"/>
    <w:rsid w:val="001F6D5E"/>
    <w:rsid w:val="00210D3C"/>
    <w:rsid w:val="00217454"/>
    <w:rsid w:val="002204CE"/>
    <w:rsid w:val="002251C8"/>
    <w:rsid w:val="002333BC"/>
    <w:rsid w:val="0023600D"/>
    <w:rsid w:val="00241482"/>
    <w:rsid w:val="00244143"/>
    <w:rsid w:val="00246F0F"/>
    <w:rsid w:val="00247A85"/>
    <w:rsid w:val="00261E7B"/>
    <w:rsid w:val="00262B06"/>
    <w:rsid w:val="00293BB8"/>
    <w:rsid w:val="002954B8"/>
    <w:rsid w:val="002A4A92"/>
    <w:rsid w:val="002A6A5C"/>
    <w:rsid w:val="002B0852"/>
    <w:rsid w:val="002C0662"/>
    <w:rsid w:val="002C29EC"/>
    <w:rsid w:val="002D131D"/>
    <w:rsid w:val="002D5478"/>
    <w:rsid w:val="002E013D"/>
    <w:rsid w:val="00302AC1"/>
    <w:rsid w:val="00320ECB"/>
    <w:rsid w:val="003256CF"/>
    <w:rsid w:val="003416F8"/>
    <w:rsid w:val="003443BA"/>
    <w:rsid w:val="00344FC0"/>
    <w:rsid w:val="00361138"/>
    <w:rsid w:val="0036697C"/>
    <w:rsid w:val="00377A0D"/>
    <w:rsid w:val="00382737"/>
    <w:rsid w:val="00387FF0"/>
    <w:rsid w:val="003C7242"/>
    <w:rsid w:val="003E02DA"/>
    <w:rsid w:val="003E1692"/>
    <w:rsid w:val="003E7783"/>
    <w:rsid w:val="003F1663"/>
    <w:rsid w:val="003F4931"/>
    <w:rsid w:val="00403558"/>
    <w:rsid w:val="00430D9E"/>
    <w:rsid w:val="00442A0E"/>
    <w:rsid w:val="00443C70"/>
    <w:rsid w:val="004675A1"/>
    <w:rsid w:val="00471EA5"/>
    <w:rsid w:val="00472FA9"/>
    <w:rsid w:val="00476E16"/>
    <w:rsid w:val="00487798"/>
    <w:rsid w:val="00490100"/>
    <w:rsid w:val="00495E97"/>
    <w:rsid w:val="0049724A"/>
    <w:rsid w:val="004A4C74"/>
    <w:rsid w:val="004D4E80"/>
    <w:rsid w:val="004E5226"/>
    <w:rsid w:val="004E6AB2"/>
    <w:rsid w:val="004E70E8"/>
    <w:rsid w:val="00520C5D"/>
    <w:rsid w:val="005219EA"/>
    <w:rsid w:val="00535F87"/>
    <w:rsid w:val="005566E7"/>
    <w:rsid w:val="00560C7D"/>
    <w:rsid w:val="00564622"/>
    <w:rsid w:val="00577416"/>
    <w:rsid w:val="00594E94"/>
    <w:rsid w:val="005A09D5"/>
    <w:rsid w:val="005A3E0B"/>
    <w:rsid w:val="005B3227"/>
    <w:rsid w:val="005D57E5"/>
    <w:rsid w:val="005E26D3"/>
    <w:rsid w:val="005E6EA4"/>
    <w:rsid w:val="005E77B1"/>
    <w:rsid w:val="00601579"/>
    <w:rsid w:val="006175E6"/>
    <w:rsid w:val="00645019"/>
    <w:rsid w:val="0067056E"/>
    <w:rsid w:val="0068094B"/>
    <w:rsid w:val="006828C3"/>
    <w:rsid w:val="00686284"/>
    <w:rsid w:val="006959E4"/>
    <w:rsid w:val="00695ECD"/>
    <w:rsid w:val="00716542"/>
    <w:rsid w:val="007337AD"/>
    <w:rsid w:val="0073402D"/>
    <w:rsid w:val="00755988"/>
    <w:rsid w:val="00780ADA"/>
    <w:rsid w:val="00792D43"/>
    <w:rsid w:val="007B01DF"/>
    <w:rsid w:val="007B30FE"/>
    <w:rsid w:val="007B7A61"/>
    <w:rsid w:val="007E1FA8"/>
    <w:rsid w:val="007E2EAA"/>
    <w:rsid w:val="007E6083"/>
    <w:rsid w:val="007F18EF"/>
    <w:rsid w:val="007F2531"/>
    <w:rsid w:val="00812951"/>
    <w:rsid w:val="00820B7B"/>
    <w:rsid w:val="00832245"/>
    <w:rsid w:val="0083727B"/>
    <w:rsid w:val="00855181"/>
    <w:rsid w:val="00882F23"/>
    <w:rsid w:val="0089047A"/>
    <w:rsid w:val="00892BB6"/>
    <w:rsid w:val="00894CAF"/>
    <w:rsid w:val="008A1020"/>
    <w:rsid w:val="008A1250"/>
    <w:rsid w:val="008A1FCF"/>
    <w:rsid w:val="008B1112"/>
    <w:rsid w:val="008C78F5"/>
    <w:rsid w:val="00914419"/>
    <w:rsid w:val="00923D8B"/>
    <w:rsid w:val="00962E61"/>
    <w:rsid w:val="0098447D"/>
    <w:rsid w:val="00984A59"/>
    <w:rsid w:val="00986331"/>
    <w:rsid w:val="009A6667"/>
    <w:rsid w:val="009A707B"/>
    <w:rsid w:val="009B2B04"/>
    <w:rsid w:val="009C1AE9"/>
    <w:rsid w:val="009C7105"/>
    <w:rsid w:val="00A021F5"/>
    <w:rsid w:val="00A122BB"/>
    <w:rsid w:val="00A37F9E"/>
    <w:rsid w:val="00A66A59"/>
    <w:rsid w:val="00A83E7B"/>
    <w:rsid w:val="00A8656F"/>
    <w:rsid w:val="00AA1273"/>
    <w:rsid w:val="00AA2F47"/>
    <w:rsid w:val="00AB7FE5"/>
    <w:rsid w:val="00AC1E5A"/>
    <w:rsid w:val="00AD57B4"/>
    <w:rsid w:val="00AF3B03"/>
    <w:rsid w:val="00B14E21"/>
    <w:rsid w:val="00B431B6"/>
    <w:rsid w:val="00B54AD3"/>
    <w:rsid w:val="00B62B99"/>
    <w:rsid w:val="00B643D0"/>
    <w:rsid w:val="00B71E93"/>
    <w:rsid w:val="00B82CA9"/>
    <w:rsid w:val="00B87E22"/>
    <w:rsid w:val="00B9350F"/>
    <w:rsid w:val="00BA3E51"/>
    <w:rsid w:val="00BA55AA"/>
    <w:rsid w:val="00BB1021"/>
    <w:rsid w:val="00BB3142"/>
    <w:rsid w:val="00BB7A6A"/>
    <w:rsid w:val="00BB7C52"/>
    <w:rsid w:val="00BD6049"/>
    <w:rsid w:val="00C155FC"/>
    <w:rsid w:val="00C236F5"/>
    <w:rsid w:val="00C4572B"/>
    <w:rsid w:val="00C532FC"/>
    <w:rsid w:val="00C74B06"/>
    <w:rsid w:val="00C75D84"/>
    <w:rsid w:val="00C857CB"/>
    <w:rsid w:val="00C90B9E"/>
    <w:rsid w:val="00CA5CD9"/>
    <w:rsid w:val="00CC25BF"/>
    <w:rsid w:val="00CC5ED4"/>
    <w:rsid w:val="00D04093"/>
    <w:rsid w:val="00D0794D"/>
    <w:rsid w:val="00D140DF"/>
    <w:rsid w:val="00D170A9"/>
    <w:rsid w:val="00D27131"/>
    <w:rsid w:val="00D4222D"/>
    <w:rsid w:val="00D666BB"/>
    <w:rsid w:val="00D720DF"/>
    <w:rsid w:val="00D92ED4"/>
    <w:rsid w:val="00D94ABF"/>
    <w:rsid w:val="00E07B9E"/>
    <w:rsid w:val="00E20245"/>
    <w:rsid w:val="00E216D4"/>
    <w:rsid w:val="00E32A75"/>
    <w:rsid w:val="00E35593"/>
    <w:rsid w:val="00E41AB4"/>
    <w:rsid w:val="00E41CE0"/>
    <w:rsid w:val="00E4379F"/>
    <w:rsid w:val="00E65596"/>
    <w:rsid w:val="00E67A2D"/>
    <w:rsid w:val="00E72A6A"/>
    <w:rsid w:val="00E76478"/>
    <w:rsid w:val="00E81BCD"/>
    <w:rsid w:val="00E93829"/>
    <w:rsid w:val="00EA0042"/>
    <w:rsid w:val="00EB1D1B"/>
    <w:rsid w:val="00F36875"/>
    <w:rsid w:val="00F41A04"/>
    <w:rsid w:val="00F51E3E"/>
    <w:rsid w:val="00F53B71"/>
    <w:rsid w:val="00F5786D"/>
    <w:rsid w:val="00F65E34"/>
    <w:rsid w:val="00F716E1"/>
    <w:rsid w:val="00F908C3"/>
    <w:rsid w:val="00F91753"/>
    <w:rsid w:val="00FB1F01"/>
    <w:rsid w:val="00FE2094"/>
    <w:rsid w:val="00FF3A2B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FD36F"/>
  <w15:chartTrackingRefBased/>
  <w15:docId w15:val="{FA05F94E-A575-4F37-9299-1A140226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97C"/>
    <w:pPr>
      <w:spacing w:before="0" w:after="0" w:line="288" w:lineRule="auto"/>
    </w:pPr>
    <w:rPr>
      <w:color w:val="000000" w:themeColor="text1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A6A"/>
    <w:pPr>
      <w:keepNext/>
      <w:keepLines/>
      <w:spacing w:line="180" w:lineRule="auto"/>
      <w:outlineLvl w:val="0"/>
    </w:pPr>
    <w:rPr>
      <w:rFonts w:eastAsiaTheme="majorEastAsia" w:cs="Times New Roman (Headings CS)"/>
      <w:b/>
      <w:caps/>
      <w:color w:val="auto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697C"/>
    <w:pPr>
      <w:keepNext/>
      <w:keepLines/>
      <w:spacing w:line="320" w:lineRule="exact"/>
      <w:outlineLvl w:val="1"/>
    </w:pPr>
    <w:rPr>
      <w:rFonts w:eastAsiaTheme="majorEastAsia" w:cs="Times New Roman (Headings CS)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36697C"/>
    <w:pPr>
      <w:keepNext/>
      <w:keepLines/>
      <w:spacing w:line="320" w:lineRule="exac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97C"/>
    <w:rPr>
      <w:color w:val="000000" w:themeColor="text1"/>
      <w:sz w:val="20"/>
      <w:lang w:val="en-US"/>
    </w:rPr>
  </w:style>
  <w:style w:type="paragraph" w:styleId="Footer">
    <w:name w:val="footer"/>
    <w:basedOn w:val="Normal"/>
    <w:link w:val="FooterChar"/>
    <w:uiPriority w:val="99"/>
    <w:semiHidden/>
    <w:rsid w:val="00BA3E5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7C"/>
    <w:rPr>
      <w:color w:val="000000" w:themeColor="text1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BA3E51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97C"/>
    <w:rPr>
      <w:rFonts w:ascii="Segoe UI" w:hAnsi="Segoe UI" w:cs="Segoe UI"/>
      <w:color w:val="000000" w:themeColor="text1"/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BA3E51"/>
    <w:rPr>
      <w:color w:val="808080"/>
    </w:rPr>
  </w:style>
  <w:style w:type="table" w:styleId="TableGrid">
    <w:name w:val="Table Grid"/>
    <w:basedOn w:val="TableNormal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2A6A"/>
    <w:rPr>
      <w:rFonts w:eastAsiaTheme="majorEastAsia" w:cs="Times New Roman (Headings CS)"/>
      <w:b/>
      <w:caps/>
      <w:color w:val="auto"/>
      <w:sz w:val="2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6697C"/>
    <w:rPr>
      <w:rFonts w:eastAsiaTheme="majorEastAsia" w:cs="Times New Roman (Headings CS)"/>
      <w:color w:val="000000" w:themeColor="text1"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6697C"/>
    <w:rPr>
      <w:rFonts w:asciiTheme="majorHAnsi" w:eastAsiaTheme="majorEastAsia" w:hAnsiTheme="majorHAnsi" w:cstheme="majorBidi"/>
      <w:b/>
      <w:color w:val="000000" w:themeColor="text1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semiHidden/>
    <w:rsid w:val="000F3FE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0F3FE2"/>
    <w:rPr>
      <w:color w:val="605E5C"/>
      <w:shd w:val="clear" w:color="auto" w:fill="E1DFDD"/>
    </w:rPr>
  </w:style>
  <w:style w:type="paragraph" w:styleId="NoSpacing">
    <w:name w:val="No Spacing"/>
    <w:uiPriority w:val="12"/>
    <w:semiHidden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ListParagraph">
    <w:name w:val="List Paragraph"/>
    <w:basedOn w:val="Normal"/>
    <w:uiPriority w:val="34"/>
    <w:semiHidden/>
    <w:qFormat/>
    <w:rsid w:val="00E216D4"/>
    <w:pPr>
      <w:spacing w:line="320" w:lineRule="exact"/>
      <w:contextualSpacing/>
    </w:pPr>
    <w:rPr>
      <w:rFonts w:cs="Times New Roman (Body CS)"/>
    </w:rPr>
  </w:style>
  <w:style w:type="paragraph" w:styleId="Title">
    <w:name w:val="Title"/>
    <w:basedOn w:val="Normal"/>
    <w:next w:val="Normal"/>
    <w:link w:val="TitleChar"/>
    <w:uiPriority w:val="10"/>
    <w:qFormat/>
    <w:rsid w:val="0036697C"/>
    <w:pPr>
      <w:spacing w:before="120" w:line="180" w:lineRule="auto"/>
      <w:jc w:val="center"/>
    </w:pPr>
    <w:rPr>
      <w:rFonts w:asciiTheme="majorHAnsi" w:eastAsiaTheme="majorEastAsia" w:hAnsiTheme="majorHAnsi" w:cs="Times New Roman (Headings CS)"/>
      <w:caps/>
      <w:spacing w:val="9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97C"/>
    <w:rPr>
      <w:rFonts w:asciiTheme="majorHAnsi" w:eastAsiaTheme="majorEastAsia" w:hAnsiTheme="majorHAnsi" w:cs="Times New Roman (Headings CS)"/>
      <w:caps/>
      <w:color w:val="000000" w:themeColor="text1"/>
      <w:spacing w:val="90"/>
      <w:kern w:val="28"/>
      <w:sz w:val="60"/>
      <w:szCs w:val="5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97C"/>
    <w:pPr>
      <w:numPr>
        <w:ilvl w:val="1"/>
      </w:numPr>
      <w:spacing w:line="180" w:lineRule="auto"/>
      <w:jc w:val="center"/>
    </w:pPr>
    <w:rPr>
      <w:rFonts w:asciiTheme="majorHAnsi" w:eastAsiaTheme="minorEastAsia" w:hAnsiTheme="majorHAnsi" w:cs="Times New Roman (Body CS)"/>
      <w:caps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697C"/>
    <w:rPr>
      <w:rFonts w:asciiTheme="majorHAnsi" w:eastAsiaTheme="minorEastAsia" w:hAnsiTheme="majorHAnsi" w:cs="Times New Roman (Body CS)"/>
      <w:caps/>
      <w:color w:val="000000" w:themeColor="text1"/>
      <w:sz w:val="24"/>
      <w:lang w:val="en-US"/>
    </w:rPr>
  </w:style>
  <w:style w:type="numbering" w:customStyle="1" w:styleId="CurrentList1">
    <w:name w:val="Current List1"/>
    <w:uiPriority w:val="99"/>
    <w:rsid w:val="00490100"/>
    <w:pPr>
      <w:numPr>
        <w:numId w:val="2"/>
      </w:numPr>
    </w:pPr>
  </w:style>
  <w:style w:type="numbering" w:customStyle="1" w:styleId="CurrentList2">
    <w:name w:val="Current List2"/>
    <w:uiPriority w:val="99"/>
    <w:rsid w:val="00832245"/>
    <w:pPr>
      <w:numPr>
        <w:numId w:val="3"/>
      </w:numPr>
    </w:pPr>
  </w:style>
  <w:style w:type="numbering" w:customStyle="1" w:styleId="CurrentList3">
    <w:name w:val="Current List3"/>
    <w:uiPriority w:val="99"/>
    <w:rsid w:val="00832245"/>
    <w:pPr>
      <w:numPr>
        <w:numId w:val="4"/>
      </w:numPr>
    </w:pPr>
  </w:style>
  <w:style w:type="numbering" w:customStyle="1" w:styleId="CurrentList4">
    <w:name w:val="Current List4"/>
    <w:uiPriority w:val="99"/>
    <w:rsid w:val="00520C5D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69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wb\AppData\Roaming\Microsoft\Templates\Social%20media%20marke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0019A9CE5D44528F7D138B96A5F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CC394-19F3-4380-BACE-C1F92713957F}"/>
      </w:docPartPr>
      <w:docPartBody>
        <w:p w:rsidR="00FE0CB9" w:rsidRDefault="00000000">
          <w:pPr>
            <w:pStyle w:val="EC0019A9CE5D44528F7D138B96A5F328"/>
          </w:pPr>
          <w:r w:rsidRPr="00173B36">
            <w:t>CONTACT</w:t>
          </w:r>
        </w:p>
      </w:docPartBody>
    </w:docPart>
    <w:docPart>
      <w:docPartPr>
        <w:name w:val="D6F7AB1D53ED478CACF64A8EBB1F5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9BDB8-28FD-40E3-A6A7-C311871758B4}"/>
      </w:docPartPr>
      <w:docPartBody>
        <w:p w:rsidR="00FE0CB9" w:rsidRDefault="00000000">
          <w:pPr>
            <w:pStyle w:val="D6F7AB1D53ED478CACF64A8EBB1F57C2"/>
          </w:pPr>
          <w:r w:rsidRPr="00173B36">
            <w:t>PROFILE</w:t>
          </w:r>
        </w:p>
      </w:docPartBody>
    </w:docPart>
    <w:docPart>
      <w:docPartPr>
        <w:name w:val="D6A868E2A93C4BD4BBBA459FDBCC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73CB5-FE0A-45A1-B70A-9F17E1807F3E}"/>
      </w:docPartPr>
      <w:docPartBody>
        <w:p w:rsidR="00FE0CB9" w:rsidRDefault="00000000">
          <w:pPr>
            <w:pStyle w:val="D6A868E2A93C4BD4BBBA459FDBCC5405"/>
          </w:pPr>
          <w:r w:rsidRPr="00173B36">
            <w:t>SKILLS</w:t>
          </w:r>
        </w:p>
      </w:docPartBody>
    </w:docPart>
    <w:docPart>
      <w:docPartPr>
        <w:name w:val="37734E77EA40469F9A17BD85C3F68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96DB-AD82-4482-8CEB-EA1969B840A0}"/>
      </w:docPartPr>
      <w:docPartBody>
        <w:p w:rsidR="00FE0CB9" w:rsidRDefault="00000000">
          <w:pPr>
            <w:pStyle w:val="37734E77EA40469F9A17BD85C3F68088"/>
          </w:pPr>
          <w:r w:rsidRPr="00173B36">
            <w:t>EXPERIENCE</w:t>
          </w:r>
        </w:p>
      </w:docPartBody>
    </w:docPart>
    <w:docPart>
      <w:docPartPr>
        <w:name w:val="6A2271ECD34A4D29803C88D54BFB1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3BA0-631A-41CC-BB2A-599F350DBD71}"/>
      </w:docPartPr>
      <w:docPartBody>
        <w:p w:rsidR="00FE0CB9" w:rsidRDefault="00000000">
          <w:pPr>
            <w:pStyle w:val="6A2271ECD34A4D29803C88D54BFB1D6F"/>
          </w:pPr>
          <w:r w:rsidRPr="00173B36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BDA"/>
    <w:rsid w:val="0010464F"/>
    <w:rsid w:val="00A021F5"/>
    <w:rsid w:val="00AA2F47"/>
    <w:rsid w:val="00BB7C52"/>
    <w:rsid w:val="00C01276"/>
    <w:rsid w:val="00DA0BDA"/>
    <w:rsid w:val="00FB38BA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P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DA0BDA"/>
    <w:pPr>
      <w:keepNext/>
      <w:keepLines/>
      <w:spacing w:after="0" w:line="320" w:lineRule="exact"/>
      <w:outlineLvl w:val="1"/>
    </w:pPr>
    <w:rPr>
      <w:rFonts w:eastAsiaTheme="majorEastAsia" w:cs="Times New Roman (Headings CS)"/>
      <w:color w:val="000000" w:themeColor="text1"/>
      <w:kern w:val="0"/>
      <w:sz w:val="20"/>
      <w:szCs w:val="26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180" w:lineRule="auto"/>
      <w:jc w:val="center"/>
    </w:pPr>
    <w:rPr>
      <w:rFonts w:asciiTheme="majorHAnsi" w:hAnsiTheme="majorHAnsi" w:cs="Times New Roman (Body CS)"/>
      <w:caps/>
      <w:color w:val="000000" w:themeColor="text1"/>
      <w:kern w:val="0"/>
      <w:szCs w:val="18"/>
      <w:lang w:val="en-US"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 (Body CS)"/>
      <w:caps/>
      <w:color w:val="000000" w:themeColor="text1"/>
      <w:kern w:val="0"/>
      <w:szCs w:val="18"/>
      <w:lang w:val="en-US" w:eastAsia="en-US"/>
      <w14:ligatures w14:val="none"/>
    </w:rPr>
  </w:style>
  <w:style w:type="paragraph" w:customStyle="1" w:styleId="EC0019A9CE5D44528F7D138B96A5F328">
    <w:name w:val="EC0019A9CE5D44528F7D138B96A5F328"/>
  </w:style>
  <w:style w:type="paragraph" w:customStyle="1" w:styleId="D6F7AB1D53ED478CACF64A8EBB1F57C2">
    <w:name w:val="D6F7AB1D53ED478CACF64A8EBB1F57C2"/>
  </w:style>
  <w:style w:type="paragraph" w:customStyle="1" w:styleId="D6A868E2A93C4BD4BBBA459FDBCC5405">
    <w:name w:val="D6A868E2A93C4BD4BBBA459FDBCC5405"/>
  </w:style>
  <w:style w:type="paragraph" w:customStyle="1" w:styleId="37734E77EA40469F9A17BD85C3F68088">
    <w:name w:val="37734E77EA40469F9A17BD85C3F68088"/>
  </w:style>
  <w:style w:type="character" w:customStyle="1" w:styleId="Heading2Char">
    <w:name w:val="Heading 2 Char"/>
    <w:basedOn w:val="DefaultParagraphFont"/>
    <w:link w:val="Heading2"/>
    <w:uiPriority w:val="9"/>
    <w:rsid w:val="00DA0BDA"/>
    <w:rPr>
      <w:rFonts w:eastAsiaTheme="majorEastAsia" w:cs="Times New Roman (Headings CS)"/>
      <w:color w:val="000000" w:themeColor="text1"/>
      <w:kern w:val="0"/>
      <w:sz w:val="20"/>
      <w:szCs w:val="26"/>
      <w:lang w:val="en-US" w:eastAsia="en-US"/>
      <w14:ligatures w14:val="none"/>
    </w:rPr>
  </w:style>
  <w:style w:type="paragraph" w:customStyle="1" w:styleId="6A2271ECD34A4D29803C88D54BFB1D6F">
    <w:name w:val="6A2271ECD34A4D29803C88D54BFB1D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0275F-CC8A-4230-8267-B84213CEBB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D5CED70-FA13-46C4-A102-29F564550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1AEFC-F52C-404E-B283-E9E6F4470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788BB-310B-43D7-B9F5-95A6C7D991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Social media marketing resume</Template>
  <TotalTime>4</TotalTime>
  <Pages>4</Pages>
  <Words>1010</Words>
  <Characters>6673</Characters>
  <Application>Microsoft Office Word</Application>
  <DocSecurity>0</DocSecurity>
  <Lines>290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 Baritugo</dc:creator>
  <cp:keywords/>
  <dc:description/>
  <cp:lastModifiedBy>Brew Baritugo</cp:lastModifiedBy>
  <cp:revision>3</cp:revision>
  <dcterms:created xsi:type="dcterms:W3CDTF">2025-11-28T14:17:00Z</dcterms:created>
  <dcterms:modified xsi:type="dcterms:W3CDTF">2025-11-28T14:22:00Z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